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pPr w:leftFromText="180" w:rightFromText="180" w:vertAnchor="text" w:horzAnchor="page" w:tblpX="5903" w:tblpY="-577"/>
        <w:tblW w:w="0" w:type="auto"/>
        <w:tblLook w:val="04A0" w:firstRow="1" w:lastRow="0" w:firstColumn="1" w:lastColumn="0" w:noHBand="0" w:noVBand="1"/>
      </w:tblPr>
      <w:tblGrid>
        <w:gridCol w:w="5280"/>
      </w:tblGrid>
      <w:tr w:rsidR="00B92D0F" w14:paraId="18F9E16A" w14:textId="77777777" w:rsidTr="00B92D0F">
        <w:trPr>
          <w:trHeight w:val="1408"/>
        </w:trPr>
        <w:tc>
          <w:tcPr>
            <w:tcW w:w="5280" w:type="dxa"/>
            <w:tcBorders>
              <w:top w:val="nil"/>
              <w:left w:val="nil"/>
              <w:bottom w:val="nil"/>
              <w:right w:val="nil"/>
            </w:tcBorders>
          </w:tcPr>
          <w:p w14:paraId="2E589FDE" w14:textId="77777777" w:rsidR="00B92D0F" w:rsidRDefault="00B92D0F" w:rsidP="00B92D0F">
            <w:pPr>
              <w:contextualSpacing/>
              <w:rPr>
                <w:rFonts w:ascii="PDF417x" w:hAnsi="PDF417x"/>
                <w:sz w:val="24"/>
                <w:szCs w:val="24"/>
              </w:rPr>
            </w:pPr>
            <w:bookmarkStart w:id="0" w:name="_Hlk107255613"/>
            <w:r>
              <w:rPr>
                <w:rFonts w:ascii="PDF417x" w:hAnsi="PDF417x"/>
                <w:sz w:val="24"/>
                <w:szCs w:val="24"/>
              </w:rPr>
              <w:t>+*xfs*pvs*Akl*cvA*xBj*tay*CcE*sha*mhs*cEc*pBk*-</w:t>
            </w:r>
            <w:r>
              <w:rPr>
                <w:rFonts w:ascii="PDF417x" w:hAnsi="PDF417x"/>
                <w:sz w:val="24"/>
                <w:szCs w:val="24"/>
              </w:rPr>
              <w:br/>
              <w:t>+*yqw*usc*jli*rdz*ugc*dys*kfm*xBB*yEf*xCc*zew*-</w:t>
            </w:r>
            <w:r>
              <w:rPr>
                <w:rFonts w:ascii="PDF417x" w:hAnsi="PDF417x"/>
                <w:sz w:val="24"/>
                <w:szCs w:val="24"/>
              </w:rPr>
              <w:br/>
              <w:t>+*eDs*ors*lyd*lyd*lyd*mrs*srt*srt*nxB*vsr*zfE*-</w:t>
            </w:r>
            <w:r>
              <w:rPr>
                <w:rFonts w:ascii="PDF417x" w:hAnsi="PDF417x"/>
                <w:sz w:val="24"/>
                <w:szCs w:val="24"/>
              </w:rPr>
              <w:br/>
              <w:t>+*ftw*xaz*sta*suD*uay*xxq*gis*sxn*xEy*xtg*onA*-</w:t>
            </w:r>
            <w:r>
              <w:rPr>
                <w:rFonts w:ascii="PDF417x" w:hAnsi="PDF417x"/>
                <w:sz w:val="24"/>
                <w:szCs w:val="24"/>
              </w:rPr>
              <w:br/>
              <w:t>+*ftA*xnC*czD*EyB*wFc*yCn*xEE*tig*bmj*snq*uws*-</w:t>
            </w:r>
            <w:r>
              <w:rPr>
                <w:rFonts w:ascii="PDF417x" w:hAnsi="PDF417x"/>
                <w:sz w:val="24"/>
                <w:szCs w:val="24"/>
              </w:rPr>
              <w:br/>
              <w:t>+*xjq*hlw*aiz*boE*sfx*BxB*Bvi*qky*jCC*isb*uzq*-</w:t>
            </w:r>
            <w:r>
              <w:rPr>
                <w:rFonts w:ascii="PDF417x" w:hAnsi="PDF417x"/>
                <w:sz w:val="24"/>
                <w:szCs w:val="24"/>
              </w:rPr>
              <w:br/>
            </w:r>
          </w:p>
        </w:tc>
      </w:tr>
      <w:bookmarkEnd w:id="0"/>
    </w:tbl>
    <w:tbl>
      <w:tblPr>
        <w:tblStyle w:val="TableGrid1"/>
        <w:tblpPr w:leftFromText="180" w:rightFromText="180" w:vertAnchor="text" w:horzAnchor="page" w:tblpX="6634" w:tblpY="155"/>
        <w:tblW w:w="0" w:type="auto"/>
        <w:tblLook w:val="04A0" w:firstRow="1" w:lastRow="0" w:firstColumn="1" w:lastColumn="0" w:noHBand="0" w:noVBand="1"/>
      </w:tblPr>
      <w:tblGrid>
        <w:gridCol w:w="5280"/>
      </w:tblGrid>
      <w:tr w:rsidR="00B92D0F" w:rsidRPr="00B92D0F" w14:paraId="2F6E1E83" w14:textId="77777777" w:rsidTr="00D54306">
        <w:trPr>
          <w:trHeight w:val="1408"/>
        </w:trPr>
        <w:tc>
          <w:tcPr>
            <w:tcW w:w="5280" w:type="dxa"/>
            <w:tcBorders>
              <w:top w:val="nil"/>
              <w:left w:val="nil"/>
              <w:bottom w:val="nil"/>
              <w:right w:val="nil"/>
            </w:tcBorders>
          </w:tcPr>
          <w:p w14:paraId="5BFA6128" w14:textId="77777777" w:rsidR="00B92D0F" w:rsidRPr="00B92D0F" w:rsidRDefault="00B92D0F" w:rsidP="00D54306">
            <w:pPr>
              <w:contextualSpacing/>
              <w:rPr>
                <w:rFonts w:ascii="PDF417x" w:eastAsia="Times New Roman" w:hAnsi="PDF417x" w:cs="Times New Roman"/>
                <w:sz w:val="24"/>
                <w:szCs w:val="24"/>
              </w:rPr>
            </w:pPr>
          </w:p>
        </w:tc>
      </w:tr>
    </w:tbl>
    <w:p w14:paraId="5E9D50A0" w14:textId="77777777" w:rsidR="00D54306" w:rsidRDefault="00D54306" w:rsidP="00D54306">
      <w:pPr>
        <w:jc w:val="center"/>
        <w:rPr>
          <w:rFonts w:eastAsia="Times New Roman" w:cs="Times New Roman"/>
        </w:rPr>
      </w:pPr>
    </w:p>
    <w:p w14:paraId="0FF9240E" w14:textId="00F8D8E8" w:rsidR="00D54306" w:rsidRDefault="00D54306" w:rsidP="00D54306">
      <w:pPr>
        <w:jc w:val="center"/>
        <w:rPr>
          <w:rFonts w:eastAsia="Times New Roman" w:cs="Times New Roman"/>
        </w:rPr>
      </w:pPr>
    </w:p>
    <w:p w14:paraId="7AB366AF" w14:textId="5606BBD0" w:rsidR="00D54306" w:rsidRDefault="00D54306" w:rsidP="00D54306">
      <w:pPr>
        <w:jc w:val="center"/>
        <w:rPr>
          <w:rFonts w:eastAsia="Times New Roman" w:cs="Times New Roman"/>
        </w:rPr>
      </w:pPr>
      <w:r w:rsidRPr="00B92D0F">
        <w:rPr>
          <w:rFonts w:eastAsia="Times New Roman" w:cs="Times New Roman"/>
        </w:rPr>
        <w:drawing>
          <wp:anchor distT="0" distB="0" distL="114300" distR="114300" simplePos="0" relativeHeight="251674624" behindDoc="0" locked="0" layoutInCell="1" allowOverlap="1" wp14:anchorId="7A02E439" wp14:editId="0A450507">
            <wp:simplePos x="0" y="0"/>
            <wp:positionH relativeFrom="column">
              <wp:posOffset>2653257</wp:posOffset>
            </wp:positionH>
            <wp:positionV relativeFrom="paragraph">
              <wp:posOffset>14281</wp:posOffset>
            </wp:positionV>
            <wp:extent cx="335915" cy="445135"/>
            <wp:effectExtent l="0" t="0" r="0" b="0"/>
            <wp:wrapNone/>
            <wp:docPr id="1" name="Slika 1" descr="Grb Hrvatske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Hrvatske - Wikipedi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915" cy="445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FDEF8F" w14:textId="71205CCD" w:rsidR="00D54306" w:rsidRDefault="00D54306" w:rsidP="00D54306">
      <w:pPr>
        <w:jc w:val="center"/>
        <w:rPr>
          <w:rFonts w:eastAsia="Times New Roman" w:cs="Times New Roman"/>
        </w:rPr>
      </w:pPr>
    </w:p>
    <w:p w14:paraId="71AF4390" w14:textId="77777777" w:rsidR="00D54306" w:rsidRDefault="00D54306" w:rsidP="00D54306">
      <w:pPr>
        <w:jc w:val="center"/>
        <w:rPr>
          <w:rFonts w:eastAsia="Times New Roman" w:cs="Times New Roman"/>
        </w:rPr>
      </w:pPr>
    </w:p>
    <w:p w14:paraId="49B221CD" w14:textId="201162C4" w:rsidR="008C5FE5" w:rsidRDefault="008C5FE5" w:rsidP="00D54306">
      <w:pPr>
        <w:jc w:val="center"/>
        <w:rPr>
          <w:rFonts w:eastAsia="Times New Roman" w:cs="Times New Roman"/>
        </w:rPr>
      </w:pPr>
    </w:p>
    <w:p w14:paraId="1881CB8B" w14:textId="3AE56BB9" w:rsidR="008C5FE5" w:rsidRPr="009941D2" w:rsidRDefault="003F65C1" w:rsidP="00D54306">
      <w:pPr>
        <w:jc w:val="center"/>
        <w:rPr>
          <w:rFonts w:ascii="Times New Roman" w:eastAsia="Times New Roman" w:hAnsi="Times New Roman" w:cs="Times New Roman"/>
          <w:noProof w:val="0"/>
          <w:color w:val="000000"/>
          <w:lang w:eastAsia="hr-HR"/>
        </w:rPr>
      </w:pPr>
      <w:r w:rsidRPr="009941D2">
        <w:rPr>
          <w:rFonts w:ascii="Times New Roman" w:eastAsia="Times New Roman" w:hAnsi="Times New Roman" w:cs="Times New Roman"/>
          <w:noProof w:val="0"/>
          <w:color w:val="000000"/>
          <w:lang w:eastAsia="hr-HR"/>
        </w:rPr>
        <w:t>REPUBLIKA HRVATSKA</w:t>
      </w:r>
    </w:p>
    <w:p w14:paraId="75F812B6" w14:textId="033752D8" w:rsidR="008C5FE5" w:rsidRPr="009941D2" w:rsidRDefault="00AD6D2C" w:rsidP="00D54306">
      <w:pPr>
        <w:jc w:val="center"/>
        <w:rPr>
          <w:rFonts w:ascii="Times New Roman" w:eastAsia="Times New Roman" w:hAnsi="Times New Roman" w:cs="Times New Roman"/>
          <w:noProof w:val="0"/>
          <w:color w:val="000000"/>
          <w:lang w:eastAsia="hr-HR"/>
        </w:rPr>
      </w:pPr>
      <w:r w:rsidRPr="009941D2">
        <w:rPr>
          <w:rFonts w:ascii="Times New Roman" w:eastAsia="Times New Roman" w:hAnsi="Times New Roman" w:cs="Times New Roman"/>
          <w:noProof w:val="0"/>
          <w:color w:val="000000"/>
          <w:lang w:eastAsia="hr-HR"/>
        </w:rPr>
        <w:t>OSJEČKO-BARANJSKA ŽUPANIJA</w:t>
      </w:r>
    </w:p>
    <w:p w14:paraId="66EC98C0" w14:textId="77777777" w:rsidR="00AD6D2C" w:rsidRPr="009941D2" w:rsidRDefault="00AD6D2C" w:rsidP="00D54306">
      <w:pPr>
        <w:jc w:val="center"/>
        <w:rPr>
          <w:rFonts w:ascii="Times New Roman" w:eastAsia="Times New Roman" w:hAnsi="Times New Roman" w:cs="Times New Roman"/>
          <w:noProof w:val="0"/>
          <w:color w:val="000000"/>
          <w:lang w:eastAsia="hr-HR"/>
        </w:rPr>
      </w:pPr>
      <w:r w:rsidRPr="009941D2">
        <w:rPr>
          <w:rFonts w:ascii="Times New Roman" w:eastAsia="Times New Roman" w:hAnsi="Times New Roman" w:cs="Times New Roman"/>
          <w:noProof w:val="0"/>
          <w:color w:val="000000"/>
          <w:lang w:eastAsia="hr-HR"/>
        </w:rPr>
        <w:t>OPĆINA KNEŽEVI VINOGRADI</w:t>
      </w:r>
    </w:p>
    <w:p w14:paraId="2E955F68" w14:textId="099B663A" w:rsidR="00B92D0F" w:rsidRPr="009941D2" w:rsidRDefault="00AD6D2C" w:rsidP="00D54306">
      <w:pPr>
        <w:jc w:val="center"/>
        <w:rPr>
          <w:rFonts w:ascii="Times New Roman" w:eastAsia="Times New Roman" w:hAnsi="Times New Roman" w:cs="Times New Roman"/>
          <w:noProof w:val="0"/>
        </w:rPr>
      </w:pPr>
      <w:r w:rsidRPr="009941D2">
        <w:rPr>
          <w:rFonts w:ascii="Times New Roman" w:eastAsia="Times New Roman" w:hAnsi="Times New Roman" w:cs="Times New Roman"/>
          <w:noProof w:val="0"/>
          <w:color w:val="000000"/>
          <w:lang w:eastAsia="hr-HR"/>
        </w:rPr>
        <w:t>Jedinstveni upravni odjel</w:t>
      </w:r>
    </w:p>
    <w:p w14:paraId="3379EE20" w14:textId="77777777" w:rsidR="00B92D0F" w:rsidRPr="009941D2" w:rsidRDefault="00B92D0F" w:rsidP="00D54306">
      <w:pPr>
        <w:jc w:val="center"/>
        <w:rPr>
          <w:rFonts w:ascii="Times New Roman" w:eastAsia="Times New Roman" w:hAnsi="Times New Roman" w:cs="Times New Roman"/>
          <w:noProof w:val="0"/>
        </w:rPr>
      </w:pPr>
    </w:p>
    <w:p w14:paraId="67B11731" w14:textId="29AD7984" w:rsidR="00B92D0F" w:rsidRPr="009941D2" w:rsidRDefault="00C9578C" w:rsidP="00D54306">
      <w:pPr>
        <w:rPr>
          <w:rFonts w:ascii="Times New Roman" w:hAnsi="Times New Roman" w:cs="Times New Roman"/>
        </w:rPr>
      </w:pPr>
      <w:r w:rsidRPr="009941D2">
        <w:rPr>
          <w:rFonts w:ascii="Times New Roman" w:eastAsia="Times New Roman" w:hAnsi="Times New Roman" w:cs="Times New Roman"/>
          <w:noProof w:val="0"/>
          <w:color w:val="000000"/>
          <w:lang w:eastAsia="hr-HR"/>
        </w:rPr>
        <w:t>KLASA:</w:t>
      </w:r>
      <w:r w:rsidR="00275B0C" w:rsidRPr="009941D2">
        <w:rPr>
          <w:rFonts w:ascii="Times New Roman" w:eastAsia="Times New Roman" w:hAnsi="Times New Roman" w:cs="Times New Roman"/>
          <w:noProof w:val="0"/>
          <w:color w:val="000000"/>
          <w:lang w:eastAsia="hr-HR"/>
        </w:rPr>
        <w:t xml:space="preserve"> </w:t>
      </w:r>
      <w:r w:rsidRPr="009941D2">
        <w:rPr>
          <w:rFonts w:ascii="Times New Roman" w:eastAsia="Times New Roman" w:hAnsi="Times New Roman" w:cs="Times New Roman"/>
          <w:noProof w:val="0"/>
          <w:color w:val="000000"/>
          <w:lang w:eastAsia="hr-HR"/>
        </w:rPr>
        <w:t xml:space="preserve"> </w:t>
      </w:r>
      <w:r w:rsidR="00B92D0F" w:rsidRPr="009941D2">
        <w:rPr>
          <w:rFonts w:ascii="Times New Roman" w:eastAsia="Times New Roman" w:hAnsi="Times New Roman" w:cs="Times New Roman"/>
          <w:noProof w:val="0"/>
          <w:color w:val="000000"/>
          <w:lang w:eastAsia="hr-HR"/>
        </w:rPr>
        <w:t>400-05/23-01/05</w:t>
      </w:r>
    </w:p>
    <w:p w14:paraId="0FD39D47" w14:textId="3B225B5A" w:rsidR="00B92D0F" w:rsidRPr="009941D2" w:rsidRDefault="00C9578C" w:rsidP="00D54306">
      <w:pPr>
        <w:rPr>
          <w:rFonts w:ascii="Times New Roman" w:eastAsia="Times New Roman" w:hAnsi="Times New Roman" w:cs="Times New Roman"/>
          <w:noProof w:val="0"/>
          <w:color w:val="000000"/>
          <w:lang w:eastAsia="hr-HR"/>
        </w:rPr>
      </w:pPr>
      <w:r w:rsidRPr="009941D2">
        <w:rPr>
          <w:rFonts w:ascii="Times New Roman" w:eastAsia="Times New Roman" w:hAnsi="Times New Roman" w:cs="Times New Roman"/>
          <w:noProof w:val="0"/>
          <w:color w:val="000000"/>
          <w:lang w:eastAsia="hr-HR"/>
        </w:rPr>
        <w:t xml:space="preserve">URBROJ: </w:t>
      </w:r>
      <w:r w:rsidR="00B92D0F" w:rsidRPr="009941D2">
        <w:rPr>
          <w:rFonts w:ascii="Times New Roman" w:eastAsia="Times New Roman" w:hAnsi="Times New Roman" w:cs="Times New Roman"/>
          <w:noProof w:val="0"/>
          <w:color w:val="000000"/>
          <w:lang w:eastAsia="hr-HR"/>
        </w:rPr>
        <w:t>2158-23-04/01-23-1</w:t>
      </w:r>
    </w:p>
    <w:p w14:paraId="4445648A" w14:textId="38614596" w:rsidR="00B92D0F" w:rsidRPr="009941D2" w:rsidRDefault="003643E5" w:rsidP="00D54306">
      <w:pPr>
        <w:rPr>
          <w:rFonts w:ascii="Times New Roman" w:eastAsia="Times New Roman" w:hAnsi="Times New Roman" w:cs="Times New Roman"/>
          <w:noProof w:val="0"/>
          <w:color w:val="000000"/>
          <w:lang w:eastAsia="hr-HR"/>
        </w:rPr>
      </w:pPr>
      <w:proofErr w:type="spellStart"/>
      <w:r w:rsidRPr="003643E5">
        <w:rPr>
          <w:rFonts w:ascii="Times New Roman" w:eastAsia="Times New Roman" w:hAnsi="Times New Roman" w:cs="Times New Roman"/>
          <w:noProof w:val="0"/>
          <w:lang w:eastAsia="hr-HR"/>
        </w:rPr>
        <w:t>Kn.Vinogradi</w:t>
      </w:r>
      <w:proofErr w:type="spellEnd"/>
      <w:r w:rsidR="00C9578C" w:rsidRPr="009941D2">
        <w:rPr>
          <w:rFonts w:ascii="Times New Roman" w:eastAsia="Times New Roman" w:hAnsi="Times New Roman" w:cs="Times New Roman"/>
          <w:noProof w:val="0"/>
          <w:lang w:eastAsia="hr-HR"/>
        </w:rPr>
        <w:t xml:space="preserve">, </w:t>
      </w:r>
      <w:r w:rsidR="00B92D0F" w:rsidRPr="009941D2">
        <w:rPr>
          <w:rFonts w:ascii="Times New Roman" w:eastAsia="Times New Roman" w:hAnsi="Times New Roman" w:cs="Times New Roman"/>
          <w:noProof w:val="0"/>
          <w:color w:val="000000"/>
          <w:lang w:eastAsia="hr-HR"/>
        </w:rPr>
        <w:t>14.09.2023.</w:t>
      </w:r>
    </w:p>
    <w:p w14:paraId="6288A7D1" w14:textId="77777777" w:rsidR="00B92D0F" w:rsidRPr="009941D2" w:rsidRDefault="00B92D0F" w:rsidP="00B92D0F">
      <w:pPr>
        <w:spacing w:after="160" w:line="259" w:lineRule="auto"/>
        <w:rPr>
          <w:rFonts w:ascii="Times New Roman" w:eastAsia="Times New Roman" w:hAnsi="Times New Roman" w:cs="Times New Roman"/>
          <w:noProof w:val="0"/>
        </w:rPr>
      </w:pPr>
    </w:p>
    <w:p w14:paraId="5D8B9E09" w14:textId="77777777" w:rsidR="00B92D0F" w:rsidRPr="00B92D0F" w:rsidRDefault="00B92D0F" w:rsidP="00B92D0F">
      <w:pPr>
        <w:spacing w:after="160" w:line="259" w:lineRule="auto"/>
        <w:jc w:val="right"/>
        <w:rPr>
          <w:rFonts w:eastAsia="Times New Roman" w:cs="Times New Roman"/>
          <w:noProof w:val="0"/>
        </w:rPr>
      </w:pPr>
      <w:bookmarkStart w:id="1" w:name="_GoBack"/>
      <w:bookmarkEnd w:id="1"/>
    </w:p>
    <w:p w14:paraId="503AA9F7" w14:textId="77777777" w:rsidR="00B92D0F" w:rsidRPr="00B92D0F" w:rsidRDefault="00B92D0F" w:rsidP="00B92D0F">
      <w:pPr>
        <w:spacing w:after="160" w:line="259" w:lineRule="auto"/>
        <w:rPr>
          <w:rFonts w:eastAsia="Times New Roman" w:cs="Times New Roman"/>
          <w:noProof w:val="0"/>
        </w:rPr>
      </w:pPr>
    </w:p>
    <w:p w14:paraId="74D525F9" w14:textId="77777777" w:rsidR="00D54306" w:rsidRPr="00D54306" w:rsidRDefault="00D54306" w:rsidP="00D54306">
      <w:pPr>
        <w:ind w:firstLine="708"/>
        <w:jc w:val="center"/>
        <w:rPr>
          <w:rFonts w:ascii="Times New Roman" w:eastAsia="Times New Roman" w:hAnsi="Times New Roman" w:cs="Times New Roman"/>
          <w:b/>
          <w:noProof w:val="0"/>
          <w:sz w:val="36"/>
          <w:szCs w:val="36"/>
          <w:lang w:eastAsia="hr-HR"/>
        </w:rPr>
      </w:pPr>
      <w:r w:rsidRPr="00D54306">
        <w:rPr>
          <w:rFonts w:ascii="Times New Roman" w:eastAsia="Times New Roman" w:hAnsi="Times New Roman" w:cs="Times New Roman"/>
          <w:b/>
          <w:noProof w:val="0"/>
          <w:sz w:val="36"/>
          <w:szCs w:val="36"/>
          <w:lang w:eastAsia="hr-HR"/>
        </w:rPr>
        <w:t>UPUTE ZA IZRADU FINANCIJSKIH PLANOVA</w:t>
      </w:r>
    </w:p>
    <w:p w14:paraId="301EB632" w14:textId="77777777" w:rsidR="00D54306" w:rsidRPr="00D54306" w:rsidRDefault="00D54306" w:rsidP="00D54306">
      <w:pPr>
        <w:ind w:firstLine="708"/>
        <w:jc w:val="center"/>
        <w:rPr>
          <w:rFonts w:ascii="Times New Roman" w:eastAsia="Times New Roman" w:hAnsi="Times New Roman" w:cs="Times New Roman"/>
          <w:b/>
          <w:noProof w:val="0"/>
          <w:sz w:val="36"/>
          <w:szCs w:val="36"/>
          <w:lang w:eastAsia="hr-HR"/>
        </w:rPr>
      </w:pPr>
      <w:r w:rsidRPr="00D54306">
        <w:rPr>
          <w:rFonts w:ascii="Times New Roman" w:eastAsia="Times New Roman" w:hAnsi="Times New Roman" w:cs="Times New Roman"/>
          <w:b/>
          <w:noProof w:val="0"/>
          <w:sz w:val="36"/>
          <w:szCs w:val="36"/>
          <w:lang w:eastAsia="hr-HR"/>
        </w:rPr>
        <w:t xml:space="preserve"> PRORAČUNA </w:t>
      </w:r>
    </w:p>
    <w:p w14:paraId="25407601" w14:textId="77777777" w:rsidR="00D54306" w:rsidRPr="00D54306" w:rsidRDefault="00D54306" w:rsidP="00D54306">
      <w:pPr>
        <w:ind w:firstLine="708"/>
        <w:jc w:val="center"/>
        <w:rPr>
          <w:rFonts w:ascii="Times New Roman" w:eastAsia="Times New Roman" w:hAnsi="Times New Roman" w:cs="Times New Roman"/>
          <w:b/>
          <w:noProof w:val="0"/>
          <w:sz w:val="36"/>
          <w:szCs w:val="36"/>
          <w:lang w:eastAsia="hr-HR"/>
        </w:rPr>
      </w:pPr>
      <w:r w:rsidRPr="00D54306">
        <w:rPr>
          <w:rFonts w:ascii="Times New Roman" w:eastAsia="Times New Roman" w:hAnsi="Times New Roman" w:cs="Times New Roman"/>
          <w:b/>
          <w:noProof w:val="0"/>
          <w:sz w:val="36"/>
          <w:szCs w:val="36"/>
          <w:lang w:eastAsia="hr-HR"/>
        </w:rPr>
        <w:t xml:space="preserve">OPĆINE KNEŽEVI VINOGRADI </w:t>
      </w:r>
    </w:p>
    <w:p w14:paraId="34FBD609" w14:textId="77777777" w:rsidR="00D54306" w:rsidRPr="00D54306" w:rsidRDefault="00D54306" w:rsidP="00D54306">
      <w:pPr>
        <w:ind w:firstLine="708"/>
        <w:jc w:val="center"/>
        <w:rPr>
          <w:rFonts w:ascii="Times New Roman" w:eastAsia="Times New Roman" w:hAnsi="Times New Roman" w:cs="Times New Roman"/>
          <w:b/>
          <w:noProof w:val="0"/>
          <w:sz w:val="36"/>
          <w:szCs w:val="36"/>
          <w:lang w:eastAsia="hr-HR"/>
        </w:rPr>
      </w:pPr>
      <w:r w:rsidRPr="00D54306">
        <w:rPr>
          <w:rFonts w:ascii="Times New Roman" w:eastAsia="Times New Roman" w:hAnsi="Times New Roman" w:cs="Times New Roman"/>
          <w:b/>
          <w:noProof w:val="0"/>
          <w:sz w:val="36"/>
          <w:szCs w:val="36"/>
          <w:lang w:eastAsia="hr-HR"/>
        </w:rPr>
        <w:t>ZA RAZDOBLJE  2024.-2026.GODINE</w:t>
      </w:r>
    </w:p>
    <w:p w14:paraId="3C4EF0A9" w14:textId="77777777" w:rsidR="00D54306" w:rsidRPr="00D54306" w:rsidRDefault="00D54306" w:rsidP="00D54306">
      <w:pPr>
        <w:ind w:firstLine="708"/>
        <w:jc w:val="both"/>
        <w:rPr>
          <w:rFonts w:ascii="Times New Roman" w:eastAsia="Times New Roman" w:hAnsi="Times New Roman" w:cs="Times New Roman"/>
          <w:noProof w:val="0"/>
          <w:sz w:val="24"/>
          <w:szCs w:val="24"/>
          <w:lang w:eastAsia="hr-HR"/>
        </w:rPr>
      </w:pPr>
    </w:p>
    <w:p w14:paraId="3B73519F" w14:textId="77777777" w:rsidR="00D54306" w:rsidRPr="00D54306" w:rsidRDefault="00D54306" w:rsidP="00D54306">
      <w:pPr>
        <w:rPr>
          <w:rFonts w:ascii="Times New Roman" w:eastAsia="Times New Roman" w:hAnsi="Times New Roman" w:cs="Times New Roman"/>
          <w:noProof w:val="0"/>
          <w:sz w:val="24"/>
          <w:szCs w:val="24"/>
          <w:lang w:eastAsia="hr-HR"/>
        </w:rPr>
      </w:pPr>
    </w:p>
    <w:p w14:paraId="520F0C83" w14:textId="77777777" w:rsidR="00D54306" w:rsidRPr="00D54306" w:rsidRDefault="00D54306" w:rsidP="00D54306">
      <w:pPr>
        <w:rPr>
          <w:rFonts w:ascii="Times New Roman" w:eastAsia="Times New Roman" w:hAnsi="Times New Roman" w:cs="Times New Roman"/>
          <w:noProof w:val="0"/>
          <w:sz w:val="24"/>
          <w:szCs w:val="24"/>
          <w:lang w:eastAsia="hr-HR"/>
        </w:rPr>
      </w:pPr>
    </w:p>
    <w:p w14:paraId="265FEFEF" w14:textId="77777777" w:rsidR="00D54306" w:rsidRPr="00D54306" w:rsidRDefault="00D54306" w:rsidP="00D54306">
      <w:pPr>
        <w:rPr>
          <w:rFonts w:ascii="Times New Roman" w:eastAsia="Times New Roman" w:hAnsi="Times New Roman" w:cs="Times New Roman"/>
          <w:noProof w:val="0"/>
          <w:sz w:val="24"/>
          <w:szCs w:val="24"/>
          <w:lang w:eastAsia="hr-HR"/>
        </w:rPr>
      </w:pPr>
    </w:p>
    <w:p w14:paraId="49845E58" w14:textId="77777777" w:rsidR="00D54306" w:rsidRPr="00D54306" w:rsidRDefault="00D54306" w:rsidP="00D54306">
      <w:pPr>
        <w:rPr>
          <w:rFonts w:ascii="Times New Roman" w:eastAsia="Times New Roman" w:hAnsi="Times New Roman" w:cs="Times New Roman"/>
          <w:noProof w:val="0"/>
          <w:sz w:val="24"/>
          <w:szCs w:val="24"/>
          <w:lang w:eastAsia="hr-HR"/>
        </w:rPr>
      </w:pPr>
    </w:p>
    <w:p w14:paraId="76242A7C" w14:textId="77777777" w:rsidR="00D54306" w:rsidRPr="00D54306" w:rsidRDefault="00D54306" w:rsidP="00D54306">
      <w:pPr>
        <w:rPr>
          <w:rFonts w:ascii="Times New Roman" w:eastAsia="Times New Roman" w:hAnsi="Times New Roman" w:cs="Times New Roman"/>
          <w:noProof w:val="0"/>
          <w:sz w:val="24"/>
          <w:szCs w:val="24"/>
          <w:lang w:eastAsia="hr-HR"/>
        </w:rPr>
      </w:pPr>
    </w:p>
    <w:p w14:paraId="647ED30D" w14:textId="77777777" w:rsidR="00D54306" w:rsidRPr="00D54306" w:rsidRDefault="00D54306" w:rsidP="00D54306">
      <w:pPr>
        <w:rPr>
          <w:rFonts w:ascii="Times New Roman" w:eastAsia="Times New Roman" w:hAnsi="Times New Roman" w:cs="Times New Roman"/>
          <w:noProof w:val="0"/>
          <w:sz w:val="24"/>
          <w:szCs w:val="24"/>
          <w:lang w:eastAsia="hr-HR"/>
        </w:rPr>
      </w:pPr>
    </w:p>
    <w:p w14:paraId="70738B3D" w14:textId="77777777" w:rsidR="00D54306" w:rsidRPr="00D54306" w:rsidRDefault="00D54306" w:rsidP="00D54306">
      <w:pPr>
        <w:rPr>
          <w:rFonts w:ascii="Times New Roman" w:eastAsia="Times New Roman" w:hAnsi="Times New Roman" w:cs="Times New Roman"/>
          <w:noProof w:val="0"/>
          <w:sz w:val="24"/>
          <w:szCs w:val="24"/>
          <w:lang w:eastAsia="hr-HR"/>
        </w:rPr>
      </w:pPr>
    </w:p>
    <w:p w14:paraId="1BB1841F" w14:textId="77777777" w:rsidR="00D54306" w:rsidRPr="00D54306" w:rsidRDefault="00D54306" w:rsidP="00D54306">
      <w:pPr>
        <w:rPr>
          <w:rFonts w:ascii="Times New Roman" w:eastAsia="Times New Roman" w:hAnsi="Times New Roman" w:cs="Times New Roman"/>
          <w:noProof w:val="0"/>
          <w:sz w:val="24"/>
          <w:szCs w:val="24"/>
          <w:lang w:eastAsia="hr-HR"/>
        </w:rPr>
      </w:pPr>
    </w:p>
    <w:p w14:paraId="04264E8A" w14:textId="77777777" w:rsidR="00D54306" w:rsidRPr="00D54306" w:rsidRDefault="00D54306" w:rsidP="00D54306">
      <w:pPr>
        <w:rPr>
          <w:rFonts w:ascii="Times New Roman" w:eastAsia="Times New Roman" w:hAnsi="Times New Roman" w:cs="Times New Roman"/>
          <w:noProof w:val="0"/>
          <w:sz w:val="24"/>
          <w:szCs w:val="24"/>
          <w:lang w:eastAsia="hr-HR"/>
        </w:rPr>
      </w:pPr>
    </w:p>
    <w:p w14:paraId="4C9FBD3A" w14:textId="77777777" w:rsidR="00D54306" w:rsidRPr="00D54306" w:rsidRDefault="00D54306" w:rsidP="00D54306">
      <w:pPr>
        <w:rPr>
          <w:rFonts w:ascii="Times New Roman" w:eastAsia="Times New Roman" w:hAnsi="Times New Roman" w:cs="Times New Roman"/>
          <w:noProof w:val="0"/>
          <w:sz w:val="24"/>
          <w:szCs w:val="24"/>
          <w:lang w:eastAsia="hr-HR"/>
        </w:rPr>
      </w:pPr>
    </w:p>
    <w:p w14:paraId="272B43A5" w14:textId="77777777" w:rsidR="00D54306" w:rsidRPr="00D54306" w:rsidRDefault="00D54306" w:rsidP="00D54306">
      <w:pPr>
        <w:rPr>
          <w:rFonts w:ascii="Times New Roman" w:eastAsia="Times New Roman" w:hAnsi="Times New Roman" w:cs="Times New Roman"/>
          <w:noProof w:val="0"/>
          <w:sz w:val="24"/>
          <w:szCs w:val="24"/>
          <w:lang w:eastAsia="hr-HR"/>
        </w:rPr>
      </w:pPr>
    </w:p>
    <w:p w14:paraId="41CEE828" w14:textId="77777777" w:rsidR="00D54306" w:rsidRPr="00D54306" w:rsidRDefault="00D54306" w:rsidP="00D54306">
      <w:pPr>
        <w:rPr>
          <w:rFonts w:ascii="Times New Roman" w:eastAsia="Times New Roman" w:hAnsi="Times New Roman" w:cs="Times New Roman"/>
          <w:noProof w:val="0"/>
          <w:sz w:val="24"/>
          <w:szCs w:val="24"/>
          <w:lang w:eastAsia="hr-HR"/>
        </w:rPr>
      </w:pPr>
    </w:p>
    <w:p w14:paraId="39AD30DB" w14:textId="77777777" w:rsidR="00D54306" w:rsidRPr="00D54306" w:rsidRDefault="00D54306" w:rsidP="00D54306">
      <w:pPr>
        <w:rPr>
          <w:rFonts w:ascii="Times New Roman" w:eastAsia="Times New Roman" w:hAnsi="Times New Roman" w:cs="Times New Roman"/>
          <w:noProof w:val="0"/>
          <w:sz w:val="24"/>
          <w:szCs w:val="24"/>
          <w:lang w:eastAsia="hr-HR"/>
        </w:rPr>
      </w:pPr>
    </w:p>
    <w:p w14:paraId="443811BB" w14:textId="77777777" w:rsidR="00D54306" w:rsidRPr="00D54306" w:rsidRDefault="00D54306" w:rsidP="00D54306">
      <w:pPr>
        <w:rPr>
          <w:rFonts w:ascii="Times New Roman" w:eastAsia="Times New Roman" w:hAnsi="Times New Roman" w:cs="Times New Roman"/>
          <w:noProof w:val="0"/>
          <w:sz w:val="24"/>
          <w:szCs w:val="24"/>
          <w:lang w:eastAsia="hr-HR"/>
        </w:rPr>
      </w:pPr>
    </w:p>
    <w:p w14:paraId="360D1A69" w14:textId="77777777" w:rsidR="00D54306" w:rsidRPr="00D54306" w:rsidRDefault="00D54306" w:rsidP="00D54306">
      <w:pPr>
        <w:rPr>
          <w:rFonts w:ascii="Times New Roman" w:eastAsia="Times New Roman" w:hAnsi="Times New Roman" w:cs="Times New Roman"/>
          <w:noProof w:val="0"/>
          <w:sz w:val="24"/>
          <w:szCs w:val="24"/>
          <w:lang w:eastAsia="hr-HR"/>
        </w:rPr>
      </w:pPr>
    </w:p>
    <w:p w14:paraId="2FBB0211" w14:textId="77777777" w:rsidR="00D54306" w:rsidRPr="00D54306" w:rsidRDefault="00D54306" w:rsidP="00D54306">
      <w:pPr>
        <w:rPr>
          <w:rFonts w:ascii="Times New Roman" w:eastAsia="Times New Roman" w:hAnsi="Times New Roman" w:cs="Times New Roman"/>
          <w:noProof w:val="0"/>
          <w:sz w:val="24"/>
          <w:szCs w:val="24"/>
          <w:lang w:eastAsia="hr-HR"/>
        </w:rPr>
      </w:pPr>
    </w:p>
    <w:p w14:paraId="344B0A70" w14:textId="77777777" w:rsidR="00D54306" w:rsidRPr="00D54306" w:rsidRDefault="00D54306" w:rsidP="00D54306">
      <w:pPr>
        <w:rPr>
          <w:rFonts w:ascii="Times New Roman" w:eastAsia="Times New Roman" w:hAnsi="Times New Roman" w:cs="Times New Roman"/>
          <w:noProof w:val="0"/>
          <w:sz w:val="24"/>
          <w:szCs w:val="24"/>
          <w:lang w:eastAsia="hr-HR"/>
        </w:rPr>
      </w:pPr>
    </w:p>
    <w:p w14:paraId="3DDC305F" w14:textId="77777777" w:rsidR="00D54306" w:rsidRPr="00D54306" w:rsidRDefault="00D54306" w:rsidP="00D54306">
      <w:pPr>
        <w:rPr>
          <w:rFonts w:ascii="Times New Roman" w:eastAsia="Times New Roman" w:hAnsi="Times New Roman" w:cs="Times New Roman"/>
          <w:noProof w:val="0"/>
          <w:sz w:val="24"/>
          <w:szCs w:val="24"/>
          <w:lang w:eastAsia="hr-HR"/>
        </w:rPr>
      </w:pPr>
    </w:p>
    <w:p w14:paraId="43388381" w14:textId="77777777" w:rsidR="00D54306" w:rsidRPr="00D54306" w:rsidRDefault="00D54306" w:rsidP="00D54306">
      <w:pPr>
        <w:rPr>
          <w:rFonts w:ascii="Times New Roman" w:eastAsia="Times New Roman" w:hAnsi="Times New Roman" w:cs="Times New Roman"/>
          <w:noProof w:val="0"/>
          <w:sz w:val="24"/>
          <w:szCs w:val="24"/>
          <w:lang w:eastAsia="hr-HR"/>
        </w:rPr>
      </w:pPr>
    </w:p>
    <w:p w14:paraId="6A19C147" w14:textId="77777777" w:rsidR="00D54306" w:rsidRPr="00D54306" w:rsidRDefault="00D54306" w:rsidP="00D54306">
      <w:pPr>
        <w:rPr>
          <w:rFonts w:ascii="Times New Roman" w:eastAsia="Times New Roman" w:hAnsi="Times New Roman" w:cs="Times New Roman"/>
          <w:noProof w:val="0"/>
          <w:sz w:val="24"/>
          <w:szCs w:val="24"/>
          <w:lang w:eastAsia="hr-HR"/>
        </w:rPr>
      </w:pPr>
    </w:p>
    <w:p w14:paraId="7918C3B1" w14:textId="77777777" w:rsidR="00D54306" w:rsidRPr="00D54306" w:rsidRDefault="00D54306" w:rsidP="00D54306">
      <w:pPr>
        <w:rPr>
          <w:rFonts w:ascii="Times New Roman" w:eastAsia="Times New Roman" w:hAnsi="Times New Roman" w:cs="Times New Roman"/>
          <w:noProof w:val="0"/>
          <w:sz w:val="24"/>
          <w:szCs w:val="24"/>
          <w:lang w:eastAsia="hr-HR"/>
        </w:rPr>
      </w:pPr>
    </w:p>
    <w:p w14:paraId="461843A7" w14:textId="77777777" w:rsidR="00D54306" w:rsidRPr="00D54306" w:rsidRDefault="00D54306" w:rsidP="00D54306">
      <w:pPr>
        <w:rPr>
          <w:rFonts w:ascii="Times New Roman" w:eastAsia="Times New Roman" w:hAnsi="Times New Roman" w:cs="Times New Roman"/>
          <w:noProof w:val="0"/>
          <w:sz w:val="24"/>
          <w:szCs w:val="24"/>
          <w:lang w:eastAsia="hr-HR"/>
        </w:rPr>
      </w:pPr>
    </w:p>
    <w:p w14:paraId="2BE83C4E" w14:textId="77777777" w:rsidR="00D54306" w:rsidRPr="00D54306" w:rsidRDefault="00D54306" w:rsidP="00D54306">
      <w:pPr>
        <w:rPr>
          <w:rFonts w:ascii="Times New Roman" w:eastAsia="Times New Roman" w:hAnsi="Times New Roman" w:cs="Times New Roman"/>
          <w:noProof w:val="0"/>
          <w:sz w:val="24"/>
          <w:szCs w:val="24"/>
          <w:lang w:eastAsia="hr-HR"/>
        </w:rPr>
      </w:pPr>
    </w:p>
    <w:p w14:paraId="075E3FA0" w14:textId="77777777" w:rsidR="00D54306" w:rsidRPr="00D54306" w:rsidRDefault="00D54306" w:rsidP="00D54306">
      <w:pPr>
        <w:rPr>
          <w:rFonts w:ascii="Times New Roman" w:eastAsia="Times New Roman" w:hAnsi="Times New Roman" w:cs="Times New Roman"/>
          <w:noProof w:val="0"/>
          <w:sz w:val="24"/>
          <w:szCs w:val="24"/>
          <w:lang w:eastAsia="hr-HR"/>
        </w:rPr>
      </w:pPr>
    </w:p>
    <w:p w14:paraId="1E7B7A60" w14:textId="77777777" w:rsidR="00D54306" w:rsidRDefault="00D54306" w:rsidP="00D54306">
      <w:pPr>
        <w:jc w:val="center"/>
        <w:rPr>
          <w:rFonts w:ascii="Times New Roman" w:eastAsia="Times New Roman" w:hAnsi="Times New Roman" w:cs="Times New Roman"/>
          <w:noProof w:val="0"/>
          <w:sz w:val="24"/>
          <w:szCs w:val="24"/>
          <w:lang w:eastAsia="hr-HR"/>
        </w:rPr>
      </w:pPr>
    </w:p>
    <w:p w14:paraId="45BB94F2" w14:textId="4E7FF8E0" w:rsidR="00D54306" w:rsidRPr="00D54306" w:rsidRDefault="00D54306" w:rsidP="00D54306">
      <w:pPr>
        <w:jc w:val="center"/>
        <w:rPr>
          <w:rFonts w:ascii="Times New Roman" w:eastAsia="Times New Roman" w:hAnsi="Times New Roman" w:cs="Times New Roman"/>
          <w:noProof w:val="0"/>
          <w:sz w:val="24"/>
          <w:szCs w:val="24"/>
          <w:lang w:eastAsia="hr-HR"/>
        </w:rPr>
      </w:pPr>
      <w:r w:rsidRPr="00D54306">
        <w:rPr>
          <w:rFonts w:ascii="Times New Roman" w:eastAsia="Times New Roman" w:hAnsi="Times New Roman" w:cs="Times New Roman"/>
          <w:noProof w:val="0"/>
          <w:sz w:val="24"/>
          <w:szCs w:val="24"/>
          <w:lang w:eastAsia="hr-HR"/>
        </w:rPr>
        <w:t>Rujan, 2023.</w:t>
      </w:r>
    </w:p>
    <w:p w14:paraId="484DEE1E" w14:textId="2A5AC1DE" w:rsidR="00D54306" w:rsidRDefault="00D54306" w:rsidP="00D54306">
      <w:pPr>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p>
    <w:p w14:paraId="76CC3C29" w14:textId="142CDAEC" w:rsidR="00D54306" w:rsidRDefault="00D54306" w:rsidP="00D54306">
      <w:pPr>
        <w:rPr>
          <w:rFonts w:ascii="Times New Roman" w:eastAsia="Times New Roman" w:hAnsi="Times New Roman" w:cs="Times New Roman"/>
          <w:noProof w:val="0"/>
          <w:lang w:eastAsia="hr-HR"/>
        </w:rPr>
      </w:pPr>
    </w:p>
    <w:p w14:paraId="17D7441D" w14:textId="385CBEBD" w:rsidR="00D54306" w:rsidRDefault="00D54306" w:rsidP="00D54306">
      <w:pPr>
        <w:rPr>
          <w:rFonts w:ascii="Times New Roman" w:eastAsia="Times New Roman" w:hAnsi="Times New Roman" w:cs="Times New Roman"/>
          <w:noProof w:val="0"/>
          <w:lang w:eastAsia="hr-HR"/>
        </w:rPr>
      </w:pPr>
    </w:p>
    <w:p w14:paraId="590E26F6" w14:textId="0EF97E17" w:rsidR="00D54306" w:rsidRDefault="00D54306" w:rsidP="00D54306">
      <w:pPr>
        <w:rPr>
          <w:rFonts w:ascii="Times New Roman" w:eastAsia="Times New Roman" w:hAnsi="Times New Roman" w:cs="Times New Roman"/>
          <w:noProof w:val="0"/>
          <w:lang w:eastAsia="hr-HR"/>
        </w:rPr>
      </w:pPr>
    </w:p>
    <w:p w14:paraId="14670037" w14:textId="77777777" w:rsidR="00D54306" w:rsidRPr="00D54306" w:rsidRDefault="00D54306" w:rsidP="00D54306">
      <w:pPr>
        <w:rPr>
          <w:rFonts w:ascii="Times New Roman" w:eastAsia="Times New Roman" w:hAnsi="Times New Roman" w:cs="Times New Roman"/>
          <w:noProof w:val="0"/>
          <w:lang w:eastAsia="hr-HR"/>
        </w:rPr>
      </w:pPr>
    </w:p>
    <w:p w14:paraId="70B4C572" w14:textId="77777777" w:rsidR="00D54306" w:rsidRPr="00D54306" w:rsidRDefault="00D54306" w:rsidP="00D54306">
      <w:pPr>
        <w:ind w:firstLine="708"/>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lastRenderedPageBreak/>
        <w:t xml:space="preserve">Temeljem članka 26. stavka 2. Zakona o proračunu («Narodne novine» br. 144/21) Jedinstveni upravni odjel Općine Kneževi Vinogradi donosi </w:t>
      </w:r>
    </w:p>
    <w:p w14:paraId="62078A5E" w14:textId="77777777" w:rsidR="00D54306" w:rsidRPr="00D54306" w:rsidRDefault="00D54306" w:rsidP="00D54306">
      <w:pPr>
        <w:jc w:val="both"/>
        <w:rPr>
          <w:rFonts w:ascii="Times New Roman" w:eastAsia="Times New Roman" w:hAnsi="Times New Roman" w:cs="Times New Roman"/>
          <w:b/>
          <w:noProof w:val="0"/>
          <w:sz w:val="24"/>
          <w:szCs w:val="24"/>
          <w:lang w:eastAsia="hr-HR"/>
        </w:rPr>
      </w:pPr>
    </w:p>
    <w:p w14:paraId="56541DFA" w14:textId="77777777" w:rsidR="00D54306" w:rsidRPr="00D54306" w:rsidRDefault="00D54306" w:rsidP="00D54306">
      <w:pPr>
        <w:ind w:firstLine="708"/>
        <w:jc w:val="center"/>
        <w:rPr>
          <w:rFonts w:ascii="Times New Roman" w:eastAsia="Times New Roman" w:hAnsi="Times New Roman" w:cs="Times New Roman"/>
          <w:b/>
          <w:noProof w:val="0"/>
          <w:sz w:val="24"/>
          <w:szCs w:val="24"/>
          <w:lang w:eastAsia="hr-HR"/>
        </w:rPr>
      </w:pPr>
      <w:r w:rsidRPr="00D54306">
        <w:rPr>
          <w:rFonts w:ascii="Times New Roman" w:eastAsia="Times New Roman" w:hAnsi="Times New Roman" w:cs="Times New Roman"/>
          <w:b/>
          <w:noProof w:val="0"/>
          <w:sz w:val="24"/>
          <w:szCs w:val="24"/>
          <w:lang w:eastAsia="hr-HR"/>
        </w:rPr>
        <w:t xml:space="preserve">UPUTE ZA IZRADU FINANCIJSKIH PLANOVA  PRORAČUNA </w:t>
      </w:r>
    </w:p>
    <w:p w14:paraId="740ED3E3" w14:textId="77777777" w:rsidR="00D54306" w:rsidRPr="00D54306" w:rsidRDefault="00D54306" w:rsidP="00D54306">
      <w:pPr>
        <w:ind w:firstLine="708"/>
        <w:jc w:val="center"/>
        <w:rPr>
          <w:rFonts w:ascii="Times New Roman" w:eastAsia="Times New Roman" w:hAnsi="Times New Roman" w:cs="Times New Roman"/>
          <w:b/>
          <w:noProof w:val="0"/>
          <w:sz w:val="24"/>
          <w:szCs w:val="24"/>
          <w:lang w:eastAsia="hr-HR"/>
        </w:rPr>
      </w:pPr>
      <w:r w:rsidRPr="00D54306">
        <w:rPr>
          <w:rFonts w:ascii="Times New Roman" w:eastAsia="Times New Roman" w:hAnsi="Times New Roman" w:cs="Times New Roman"/>
          <w:b/>
          <w:noProof w:val="0"/>
          <w:sz w:val="24"/>
          <w:szCs w:val="24"/>
          <w:lang w:eastAsia="hr-HR"/>
        </w:rPr>
        <w:t xml:space="preserve">OPĆINE KNEŽEVI VINOGRADI </w:t>
      </w:r>
    </w:p>
    <w:p w14:paraId="77E3A405" w14:textId="77777777" w:rsidR="00D54306" w:rsidRPr="00D54306" w:rsidRDefault="00D54306" w:rsidP="00D54306">
      <w:pPr>
        <w:ind w:firstLine="708"/>
        <w:jc w:val="center"/>
        <w:rPr>
          <w:rFonts w:ascii="Times New Roman" w:eastAsia="Times New Roman" w:hAnsi="Times New Roman" w:cs="Times New Roman"/>
          <w:b/>
          <w:noProof w:val="0"/>
          <w:sz w:val="24"/>
          <w:szCs w:val="24"/>
          <w:lang w:eastAsia="hr-HR"/>
        </w:rPr>
      </w:pPr>
      <w:r w:rsidRPr="00D54306">
        <w:rPr>
          <w:rFonts w:ascii="Times New Roman" w:eastAsia="Times New Roman" w:hAnsi="Times New Roman" w:cs="Times New Roman"/>
          <w:b/>
          <w:noProof w:val="0"/>
          <w:sz w:val="24"/>
          <w:szCs w:val="24"/>
          <w:lang w:eastAsia="hr-HR"/>
        </w:rPr>
        <w:t>ZA RAZDOBLJE  2024.-2026.GODINE</w:t>
      </w:r>
    </w:p>
    <w:p w14:paraId="73185E0E" w14:textId="77777777" w:rsidR="00D54306" w:rsidRPr="00D54306" w:rsidRDefault="00D54306" w:rsidP="00D54306">
      <w:pPr>
        <w:jc w:val="both"/>
        <w:rPr>
          <w:rFonts w:ascii="Times New Roman" w:eastAsia="Times New Roman" w:hAnsi="Times New Roman" w:cs="Times New Roman"/>
          <w:noProof w:val="0"/>
          <w:sz w:val="24"/>
          <w:szCs w:val="24"/>
          <w:lang w:eastAsia="hr-HR"/>
        </w:rPr>
      </w:pPr>
    </w:p>
    <w:p w14:paraId="08DD443D" w14:textId="77777777" w:rsidR="00D54306" w:rsidRPr="00D54306" w:rsidRDefault="00D54306" w:rsidP="00D54306">
      <w:pPr>
        <w:ind w:left="360" w:hanging="360"/>
        <w:contextualSpacing/>
        <w:rPr>
          <w:rFonts w:ascii="Times New Roman" w:eastAsia="Times New Roman" w:hAnsi="Times New Roman" w:cs="Times New Roman"/>
          <w:noProof w:val="0"/>
          <w:spacing w:val="-10"/>
          <w:kern w:val="28"/>
          <w:sz w:val="28"/>
          <w:szCs w:val="28"/>
          <w:lang w:eastAsia="hr-HR"/>
        </w:rPr>
      </w:pPr>
      <w:r w:rsidRPr="00D54306">
        <w:rPr>
          <w:rFonts w:ascii="Times New Roman" w:eastAsia="Times New Roman" w:hAnsi="Times New Roman" w:cs="Times New Roman"/>
          <w:b/>
          <w:bCs/>
          <w:noProof w:val="0"/>
          <w:spacing w:val="-10"/>
          <w:kern w:val="28"/>
          <w:sz w:val="28"/>
          <w:szCs w:val="28"/>
          <w:lang w:eastAsia="hr-HR"/>
        </w:rPr>
        <w:t>UVOD</w:t>
      </w:r>
    </w:p>
    <w:p w14:paraId="2B8F8318" w14:textId="77777777" w:rsidR="00D54306" w:rsidRPr="00D54306" w:rsidRDefault="00D54306" w:rsidP="00D54306">
      <w:pPr>
        <w:jc w:val="both"/>
        <w:rPr>
          <w:rFonts w:ascii="Times New Roman" w:eastAsia="Times New Roman" w:hAnsi="Times New Roman" w:cs="Times New Roman"/>
          <w:b/>
          <w:noProof w:val="0"/>
          <w:sz w:val="24"/>
          <w:szCs w:val="24"/>
          <w:lang w:eastAsia="hr-HR"/>
        </w:rPr>
      </w:pPr>
    </w:p>
    <w:p w14:paraId="3BA50CA1" w14:textId="77777777" w:rsidR="00D54306" w:rsidRPr="00D54306" w:rsidRDefault="00D54306" w:rsidP="00D54306">
      <w:pPr>
        <w:keepNext/>
        <w:keepLines/>
        <w:numPr>
          <w:ilvl w:val="1"/>
          <w:numId w:val="0"/>
        </w:numPr>
        <w:spacing w:before="240"/>
        <w:ind w:left="360" w:hanging="360"/>
        <w:outlineLvl w:val="0"/>
        <w:rPr>
          <w:rFonts w:ascii="Times New Roman" w:eastAsia="Times New Roman" w:hAnsi="Times New Roman" w:cs="Times New Roman"/>
          <w:b/>
          <w:bCs/>
          <w:noProof w:val="0"/>
          <w:sz w:val="24"/>
          <w:szCs w:val="24"/>
          <w:lang w:eastAsia="hr-HR"/>
        </w:rPr>
      </w:pPr>
      <w:bookmarkStart w:id="2" w:name="_Toc147311458"/>
      <w:r w:rsidRPr="00D54306">
        <w:rPr>
          <w:rFonts w:ascii="Times New Roman" w:eastAsia="Times New Roman" w:hAnsi="Times New Roman" w:cs="Times New Roman"/>
          <w:b/>
          <w:bCs/>
          <w:noProof w:val="0"/>
          <w:sz w:val="24"/>
          <w:szCs w:val="24"/>
          <w:lang w:eastAsia="hr-HR"/>
        </w:rPr>
        <w:t>Opće odredbe</w:t>
      </w:r>
      <w:bookmarkEnd w:id="2"/>
    </w:p>
    <w:p w14:paraId="45E25F52" w14:textId="77777777" w:rsidR="00D54306" w:rsidRPr="00D54306" w:rsidRDefault="00D54306" w:rsidP="00D54306">
      <w:pPr>
        <w:jc w:val="both"/>
        <w:rPr>
          <w:rFonts w:ascii="Times New Roman" w:eastAsia="Times New Roman" w:hAnsi="Times New Roman" w:cs="Times New Roman"/>
          <w:b/>
          <w:noProof w:val="0"/>
          <w:sz w:val="24"/>
          <w:szCs w:val="24"/>
          <w:lang w:eastAsia="hr-HR"/>
        </w:rPr>
      </w:pPr>
    </w:p>
    <w:p w14:paraId="186F96AC"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U skladu s odredbama članka 26. Zakona o proračunu („Narodne novine“ br. 144/21), te na temelju Uputa Ministarstva financija za izradu proračuna jedinica lokalne i područne (regionalne) samouprave za razdoblje 2024.-2026.godine, Jedinstveni upravni odjel Općine Kneževi Vinogradi izradio je svoje Upute za izradu financijskih planova proračunskim korisnicima općinskog proračuna za razdoblje 2024.-2026.godine.  </w:t>
      </w:r>
    </w:p>
    <w:p w14:paraId="0BF3FBB6"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Upute za izradu proračuna jedinica lokalne i područne (regionalne) samouprave za razdoblje 2024.-2026. Ministarstva dostavljaju se svim županijama, gradovima i općinama kako bi, na temelju istih i u skladu s odredbama Zakona o proračunu, jedinice lokalne i područne (regionalne) samouprave izradile svoje upute za izradu proračuna i dostavile ih svojim proračunskim i izvanproračunskim korisnicima.</w:t>
      </w:r>
    </w:p>
    <w:p w14:paraId="2A0C2393"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Metodologija za izradu prijedloga financijskog plana, odnosno proračuna jedinice lokalne i područne (regionalne) samouprave propisana je Zakonom o proračunu i </w:t>
      </w:r>
      <w:proofErr w:type="spellStart"/>
      <w:r w:rsidRPr="00D54306">
        <w:rPr>
          <w:rFonts w:ascii="Times New Roman" w:eastAsia="Times New Roman" w:hAnsi="Times New Roman" w:cs="Times New Roman"/>
          <w:noProof w:val="0"/>
          <w:lang w:eastAsia="hr-HR"/>
        </w:rPr>
        <w:t>podzakonskim</w:t>
      </w:r>
      <w:proofErr w:type="spellEnd"/>
      <w:r w:rsidRPr="00D54306">
        <w:rPr>
          <w:rFonts w:ascii="Times New Roman" w:eastAsia="Times New Roman" w:hAnsi="Times New Roman" w:cs="Times New Roman"/>
          <w:noProof w:val="0"/>
          <w:lang w:eastAsia="hr-HR"/>
        </w:rPr>
        <w:t xml:space="preserve"> aktima kojima se regulira provedba Zakona, ponajprije Pravilnikom o proračunskim klasifikacijama („Narodne novine“ br. 26/10. i 120/13.) i Pravilnikom o proračunskom računovodstvu i Računskom planu („Narodne novine“ br. 124/14., 115/15., 87/16. i 3/18.).</w:t>
      </w:r>
    </w:p>
    <w:p w14:paraId="2EBD898F"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Ove upute sadrže sljedeće elemente:  </w:t>
      </w:r>
    </w:p>
    <w:p w14:paraId="3852ED8B" w14:textId="77777777" w:rsidR="00D54306" w:rsidRPr="00D54306" w:rsidRDefault="00D54306" w:rsidP="00D54306">
      <w:pPr>
        <w:ind w:firstLine="360"/>
        <w:jc w:val="both"/>
        <w:rPr>
          <w:rFonts w:ascii="Times New Roman" w:eastAsia="Times New Roman" w:hAnsi="Times New Roman" w:cs="Times New Roman"/>
          <w:noProof w:val="0"/>
          <w:lang w:eastAsia="hr-HR"/>
        </w:rPr>
      </w:pPr>
    </w:p>
    <w:p w14:paraId="606FC8FB" w14:textId="77777777" w:rsidR="00D54306" w:rsidRPr="00D54306" w:rsidRDefault="00D54306" w:rsidP="00D54306">
      <w:pPr>
        <w:numPr>
          <w:ilvl w:val="0"/>
          <w:numId w:val="7"/>
        </w:numPr>
        <w:contextualSpacing/>
        <w:jc w:val="both"/>
        <w:rPr>
          <w:rFonts w:ascii="Times New Roman" w:eastAsia="Times New Roman" w:hAnsi="Times New Roman" w:cs="Times New Roman"/>
          <w:noProof w:val="0"/>
          <w:lang w:eastAsia="hr-HR"/>
        </w:rPr>
      </w:pPr>
      <w:bookmarkStart w:id="3" w:name="_Hlk116021980"/>
      <w:r w:rsidRPr="00D54306">
        <w:rPr>
          <w:rFonts w:ascii="Times New Roman" w:eastAsia="Times New Roman" w:hAnsi="Times New Roman" w:cs="Times New Roman"/>
          <w:noProof w:val="0"/>
          <w:lang w:eastAsia="hr-HR"/>
        </w:rPr>
        <w:t>temeljne makroekonomske pretpostavke za izradu prijedloga proračuna jedinice lokalne i područne (regionalne) samouprave</w:t>
      </w:r>
    </w:p>
    <w:bookmarkEnd w:id="3"/>
    <w:p w14:paraId="3B7E3D12" w14:textId="77777777" w:rsidR="00D54306" w:rsidRPr="00D54306" w:rsidRDefault="00D54306" w:rsidP="00D54306">
      <w:pPr>
        <w:numPr>
          <w:ilvl w:val="0"/>
          <w:numId w:val="7"/>
        </w:numPr>
        <w:contextualSpacing/>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opis planiranih politika jedinice lokalne i područne (regionalne) samouprave</w:t>
      </w:r>
    </w:p>
    <w:p w14:paraId="74F9A6FD" w14:textId="77777777" w:rsidR="00D54306" w:rsidRPr="00D54306" w:rsidRDefault="00D54306" w:rsidP="00D54306">
      <w:pPr>
        <w:numPr>
          <w:ilvl w:val="0"/>
          <w:numId w:val="7"/>
        </w:numPr>
        <w:contextualSpacing/>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procjenu prihoda i rashoda te primitaka i izdataka proračuna jedinice lokalne i područne (regionalne) samouprave u sljedeće tri godine</w:t>
      </w:r>
    </w:p>
    <w:p w14:paraId="288834BE" w14:textId="77777777" w:rsidR="00D54306" w:rsidRPr="00D54306" w:rsidRDefault="00D54306" w:rsidP="00D54306">
      <w:pPr>
        <w:numPr>
          <w:ilvl w:val="0"/>
          <w:numId w:val="7"/>
        </w:numPr>
        <w:contextualSpacing/>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visinu rashoda koji se financiraju iz općih prihoda i primitaka te namjenskih primitaka po razdjelima organizacijske klasifikacije, za iduću proračunsku godinu i za sljedeće dvije godine, raspoređenu na:</w:t>
      </w:r>
    </w:p>
    <w:p w14:paraId="0C5C282E" w14:textId="77777777" w:rsidR="00D54306" w:rsidRPr="00D54306" w:rsidRDefault="00D54306" w:rsidP="00D54306">
      <w:pPr>
        <w:ind w:left="1080"/>
        <w:contextualSpacing/>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a) visinu rashoda potrebnih za provedbu postojećih programa odnosno aktivnosti, koje proizlaze iz važećih propisa i</w:t>
      </w:r>
    </w:p>
    <w:p w14:paraId="467E274E" w14:textId="77777777" w:rsidR="00D54306" w:rsidRPr="00D54306" w:rsidRDefault="00D54306" w:rsidP="00D54306">
      <w:pPr>
        <w:ind w:left="1080"/>
        <w:contextualSpacing/>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b) visinu rashoda potrebnih za uvođenje i provedbu novih ili promjenu postojećih programa odnosno aktivnosti</w:t>
      </w:r>
    </w:p>
    <w:p w14:paraId="70B6B6D2" w14:textId="77777777" w:rsidR="00D54306" w:rsidRPr="00D54306" w:rsidRDefault="00D54306" w:rsidP="00D54306">
      <w:pPr>
        <w:numPr>
          <w:ilvl w:val="0"/>
          <w:numId w:val="7"/>
        </w:numPr>
        <w:contextualSpacing/>
        <w:jc w:val="both"/>
        <w:rPr>
          <w:rFonts w:ascii="Times New Roman" w:eastAsia="Times New Roman" w:hAnsi="Times New Roman" w:cs="Times New Roman"/>
          <w:noProof w:val="0"/>
          <w:lang w:eastAsia="hr-HR"/>
        </w:rPr>
      </w:pPr>
      <w:bookmarkStart w:id="4" w:name="_Hlk116035665"/>
      <w:r w:rsidRPr="00D54306">
        <w:rPr>
          <w:rFonts w:ascii="Times New Roman" w:eastAsia="Times New Roman" w:hAnsi="Times New Roman" w:cs="Times New Roman"/>
          <w:noProof w:val="0"/>
          <w:lang w:eastAsia="hr-HR"/>
        </w:rPr>
        <w:t xml:space="preserve">način izrade i rok za dostavu prijedloga financijskih planova proračunskih korisnika </w:t>
      </w:r>
      <w:bookmarkEnd w:id="4"/>
      <w:r w:rsidRPr="00D54306">
        <w:rPr>
          <w:rFonts w:ascii="Times New Roman" w:eastAsia="Times New Roman" w:hAnsi="Times New Roman" w:cs="Times New Roman"/>
          <w:noProof w:val="0"/>
          <w:lang w:eastAsia="hr-HR"/>
        </w:rPr>
        <w:t>jedinice lokalne i područne (regionalne) samouprave.</w:t>
      </w:r>
    </w:p>
    <w:p w14:paraId="2C908E2D" w14:textId="77777777" w:rsidR="00D54306" w:rsidRPr="00D54306" w:rsidRDefault="00D54306" w:rsidP="00D54306">
      <w:pPr>
        <w:ind w:firstLine="360"/>
        <w:jc w:val="both"/>
        <w:rPr>
          <w:rFonts w:ascii="Times New Roman" w:eastAsia="Times New Roman" w:hAnsi="Times New Roman" w:cs="Times New Roman"/>
          <w:noProof w:val="0"/>
          <w:lang w:eastAsia="hr-HR"/>
        </w:rPr>
      </w:pPr>
    </w:p>
    <w:p w14:paraId="40AB1FCD"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Važnost procesa planiranja prepoznata je i u kontekstu davanja Izjave o fiskalnoj odgovornosti temeljem Zakona o fiskalnoj odgovornosti (NN br. 139/10, 19/14 i 111/18) i Uredbe o sastavljanju i predaji Izjave o fiskalnoj odgovornosti i Izvještaja o primjeni fiskalnih pravila (NN 78/11, 106/12, 130/13, 19/15, 119/15 i 95/19).</w:t>
      </w:r>
    </w:p>
    <w:p w14:paraId="7FEFD1F0" w14:textId="77777777" w:rsidR="00D54306" w:rsidRPr="00D54306" w:rsidRDefault="00D54306" w:rsidP="00D54306">
      <w:pPr>
        <w:ind w:firstLine="360"/>
        <w:jc w:val="both"/>
        <w:rPr>
          <w:rFonts w:ascii="Times New Roman" w:eastAsia="Times New Roman" w:hAnsi="Times New Roman" w:cs="Times New Roman"/>
          <w:noProof w:val="0"/>
          <w:lang w:eastAsia="hr-HR"/>
        </w:rPr>
      </w:pPr>
    </w:p>
    <w:p w14:paraId="2E55D58E"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Čelnik jedinice područne (regionalne) samouprave, proračunskog i izvanproračunskog korisnika odgovoran je za zakonito i pravilno planiranje i izvršavanje proračuna odnosno financijskog plana.</w:t>
      </w:r>
    </w:p>
    <w:p w14:paraId="2DEE7BAF" w14:textId="77777777" w:rsidR="00D54306" w:rsidRPr="00D54306" w:rsidRDefault="00D54306" w:rsidP="00D54306">
      <w:pPr>
        <w:ind w:firstLine="360"/>
        <w:jc w:val="both"/>
        <w:rPr>
          <w:rFonts w:ascii="Times New Roman" w:eastAsia="Times New Roman" w:hAnsi="Times New Roman" w:cs="Times New Roman"/>
          <w:noProof w:val="0"/>
          <w:lang w:eastAsia="hr-HR"/>
        </w:rPr>
      </w:pPr>
    </w:p>
    <w:p w14:paraId="310BACE9"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Proračun jedinice lokalne i područne (regionalne) samouprave donosi predstavničko tijelo, </w:t>
      </w:r>
      <w:proofErr w:type="spellStart"/>
      <w:r w:rsidRPr="00D54306">
        <w:rPr>
          <w:rFonts w:ascii="Times New Roman" w:eastAsia="Times New Roman" w:hAnsi="Times New Roman" w:cs="Times New Roman"/>
          <w:noProof w:val="0"/>
          <w:lang w:eastAsia="hr-HR"/>
        </w:rPr>
        <w:t>poštivajući</w:t>
      </w:r>
      <w:proofErr w:type="spellEnd"/>
      <w:r w:rsidRPr="00D54306">
        <w:rPr>
          <w:rFonts w:ascii="Times New Roman" w:eastAsia="Times New Roman" w:hAnsi="Times New Roman" w:cs="Times New Roman"/>
          <w:noProof w:val="0"/>
          <w:lang w:eastAsia="hr-HR"/>
        </w:rPr>
        <w:t xml:space="preserve"> trogodišnji proračunski okvir. Proračun za 2023. godinu i projekcije za 2024. i 2025. godinu donose se na razini skupine (druga razina računskog plana). Ovakav način donošenja proračuna omogućava veću fleksibilnost u izvršavanju proračuna i financijskog plana, što je od važnosti za realizaciju programskog planiranja.</w:t>
      </w:r>
    </w:p>
    <w:p w14:paraId="27F5334C" w14:textId="77777777" w:rsidR="00D54306" w:rsidRPr="00D54306" w:rsidRDefault="00D54306" w:rsidP="00D54306">
      <w:pPr>
        <w:ind w:left="360" w:hanging="360"/>
        <w:contextualSpacing/>
        <w:rPr>
          <w:rFonts w:ascii="Times New Roman" w:eastAsia="Times New Roman" w:hAnsi="Times New Roman" w:cs="Times New Roman"/>
          <w:b/>
          <w:bCs/>
          <w:noProof w:val="0"/>
          <w:spacing w:val="-10"/>
          <w:kern w:val="28"/>
          <w:sz w:val="28"/>
          <w:szCs w:val="28"/>
          <w:lang w:eastAsia="hr-HR"/>
        </w:rPr>
      </w:pPr>
      <w:r w:rsidRPr="00D54306">
        <w:rPr>
          <w:rFonts w:ascii="Times New Roman" w:eastAsia="Times New Roman" w:hAnsi="Times New Roman" w:cs="Times New Roman"/>
          <w:b/>
          <w:bCs/>
          <w:noProof w:val="0"/>
          <w:spacing w:val="-10"/>
          <w:kern w:val="28"/>
          <w:sz w:val="28"/>
          <w:szCs w:val="28"/>
          <w:lang w:eastAsia="hr-HR"/>
        </w:rPr>
        <w:lastRenderedPageBreak/>
        <w:t xml:space="preserve">TEMELJNE MAKROEKONOMSKE PRETPOSTAVKE ZA IZRADU PRIJEDLOGA PRORAČUNA JEDINICE LOKALNE I PODRUČNE (REGIONALNE) SAMOUPRAVE ZA IZRADU PRIJEDLOGA PRORAČUNA OPĆINE KNEŽEVI VINOGRADI ZA RAZDOBLJE 2024.-2026.GODINE: </w:t>
      </w:r>
    </w:p>
    <w:p w14:paraId="04BDBD7C" w14:textId="77777777" w:rsidR="00D54306" w:rsidRPr="00D54306" w:rsidRDefault="00D54306" w:rsidP="00D54306">
      <w:pPr>
        <w:jc w:val="both"/>
        <w:rPr>
          <w:rFonts w:ascii="Times New Roman" w:eastAsia="Times New Roman" w:hAnsi="Times New Roman" w:cs="Times New Roman"/>
          <w:b/>
          <w:noProof w:val="0"/>
          <w:lang w:eastAsia="hr-HR"/>
        </w:rPr>
      </w:pPr>
    </w:p>
    <w:p w14:paraId="7E1AED79"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Temeljna ekonomska ishodišta i pretpostavke za izradu prijedloga proračuna Općine Kneževi Vinogradi proizlaze iz: </w:t>
      </w:r>
    </w:p>
    <w:p w14:paraId="6A153A55" w14:textId="77777777" w:rsidR="00D54306" w:rsidRPr="00D54306" w:rsidRDefault="00D54306" w:rsidP="00D54306">
      <w:pPr>
        <w:numPr>
          <w:ilvl w:val="0"/>
          <w:numId w:val="4"/>
        </w:numPr>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Uputa za izradu proračuna jedinica lokalne i područne (regionalne) samouprave za razdoblje 2024.-2026.godinu koje je donijelo Ministarstvo financija RH </w:t>
      </w:r>
      <w:hyperlink r:id="rId7" w:history="1">
        <w:r w:rsidRPr="00D54306">
          <w:rPr>
            <w:rFonts w:ascii="Times New Roman" w:eastAsia="Times New Roman" w:hAnsi="Times New Roman" w:cs="Times New Roman"/>
            <w:noProof w:val="0"/>
            <w:color w:val="0000FF"/>
            <w:u w:val="single"/>
            <w:lang w:eastAsia="hr-HR"/>
          </w:rPr>
          <w:t>https://mfin.gov.hr/istaknute-teme/lokalna-samouprava/upute-za-izradu-proracuna-jlp-r-s/205</w:t>
        </w:r>
      </w:hyperlink>
    </w:p>
    <w:p w14:paraId="4B6BC6FD" w14:textId="77777777" w:rsidR="00D54306" w:rsidRPr="00D54306" w:rsidRDefault="00D54306" w:rsidP="00D54306">
      <w:pPr>
        <w:numPr>
          <w:ilvl w:val="0"/>
          <w:numId w:val="4"/>
        </w:numPr>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Strategijskim razvojnim dokumentima Osječko-baranjske Županije </w:t>
      </w:r>
      <w:hyperlink r:id="rId8" w:history="1">
        <w:r w:rsidRPr="00D54306">
          <w:rPr>
            <w:rFonts w:ascii="Times New Roman" w:eastAsia="Times New Roman" w:hAnsi="Times New Roman" w:cs="Times New Roman"/>
            <w:noProof w:val="0"/>
            <w:color w:val="0000FF"/>
            <w:u w:val="single"/>
            <w:lang w:eastAsia="hr-HR"/>
          </w:rPr>
          <w:t>http://www.obz.hr/index.php/razvojni-projekti-i-investicije/strategijski-razvojni-dokumenti</w:t>
        </w:r>
      </w:hyperlink>
    </w:p>
    <w:p w14:paraId="00BDB846" w14:textId="77777777" w:rsidR="00D54306" w:rsidRPr="00D54306" w:rsidRDefault="00D54306" w:rsidP="00D54306">
      <w:pPr>
        <w:numPr>
          <w:ilvl w:val="0"/>
          <w:numId w:val="4"/>
        </w:numPr>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Provedbeni program Općine Kneževi Vinogradi za razdoblje 2021-2025. </w:t>
      </w:r>
      <w:hyperlink r:id="rId9" w:history="1">
        <w:r w:rsidRPr="00D54306">
          <w:rPr>
            <w:rFonts w:ascii="Times New Roman" w:eastAsia="Times New Roman" w:hAnsi="Times New Roman" w:cs="Times New Roman"/>
            <w:noProof w:val="0"/>
            <w:color w:val="0000FF"/>
            <w:u w:val="single"/>
            <w:lang w:eastAsia="hr-HR"/>
          </w:rPr>
          <w:t>https://knezevi-vinogradi.hr/dokumenti/provedbeni-program-opcine-knezevi-vinogradi-za-razdoblje-2021-2025/</w:t>
        </w:r>
      </w:hyperlink>
    </w:p>
    <w:p w14:paraId="0952F92D" w14:textId="77777777" w:rsidR="00D54306" w:rsidRPr="00D54306" w:rsidRDefault="00D54306" w:rsidP="00D54306">
      <w:pPr>
        <w:ind w:left="720"/>
        <w:jc w:val="both"/>
        <w:rPr>
          <w:rFonts w:ascii="Times New Roman" w:eastAsia="Times New Roman" w:hAnsi="Times New Roman" w:cs="Times New Roman"/>
          <w:noProof w:val="0"/>
          <w:lang w:eastAsia="hr-HR"/>
        </w:rPr>
      </w:pPr>
    </w:p>
    <w:p w14:paraId="4F2DD91D" w14:textId="77777777" w:rsidR="00D54306" w:rsidRPr="00D54306" w:rsidRDefault="00D54306" w:rsidP="00D54306">
      <w:pPr>
        <w:ind w:firstLine="360"/>
        <w:jc w:val="both"/>
        <w:rPr>
          <w:rFonts w:ascii="Times New Roman" w:eastAsia="Times New Roman" w:hAnsi="Times New Roman" w:cs="Times New Roman"/>
          <w:bCs/>
          <w:noProof w:val="0"/>
          <w:lang w:eastAsia="hr-HR"/>
        </w:rPr>
      </w:pPr>
      <w:r w:rsidRPr="00D54306">
        <w:rPr>
          <w:rFonts w:ascii="Times New Roman" w:eastAsia="Times New Roman" w:hAnsi="Times New Roman" w:cs="Times New Roman"/>
          <w:bCs/>
          <w:noProof w:val="0"/>
          <w:lang w:eastAsia="hr-HR"/>
        </w:rPr>
        <w:t>Ministarstvo financija je izradilo prijedlog, a Vlada usvojila Program stabilnosti Republike Hrvatske za razdoblje 2024. - 2026. (dalje u tekstu: Program stabilnosti ) u travnju 2023. Na temelju Programa stabilnosti Vlada je u lipnju 2023. donijela Odluku o proračunskom okviru za razdoblje 2024. – 2026.</w:t>
      </w:r>
    </w:p>
    <w:p w14:paraId="2CEF017E" w14:textId="77777777" w:rsidR="00D54306" w:rsidRPr="00D54306" w:rsidRDefault="00D54306" w:rsidP="00D54306">
      <w:pPr>
        <w:ind w:firstLine="360"/>
        <w:jc w:val="both"/>
        <w:rPr>
          <w:rFonts w:ascii="Times New Roman" w:eastAsia="Times New Roman" w:hAnsi="Times New Roman" w:cs="Times New Roman"/>
          <w:bCs/>
          <w:noProof w:val="0"/>
          <w:lang w:eastAsia="hr-HR"/>
        </w:rPr>
      </w:pPr>
    </w:p>
    <w:p w14:paraId="681919BC" w14:textId="77777777" w:rsidR="00D54306" w:rsidRPr="00D54306" w:rsidRDefault="00D54306" w:rsidP="00D54306">
      <w:pPr>
        <w:ind w:firstLine="360"/>
        <w:jc w:val="both"/>
        <w:rPr>
          <w:rFonts w:ascii="Times New Roman" w:eastAsia="Times New Roman" w:hAnsi="Times New Roman" w:cs="Times New Roman"/>
          <w:bCs/>
          <w:noProof w:val="0"/>
          <w:lang w:eastAsia="hr-HR"/>
        </w:rPr>
      </w:pPr>
      <w:r w:rsidRPr="00D54306">
        <w:rPr>
          <w:rFonts w:ascii="Times New Roman" w:eastAsia="Times New Roman" w:hAnsi="Times New Roman" w:cs="Times New Roman"/>
          <w:bCs/>
          <w:noProof w:val="0"/>
          <w:lang w:eastAsia="hr-HR"/>
        </w:rPr>
        <w:t>Sukladno Programu stabilnosti fiskalna kretanja u 2023. rezultirat će proračunskim manjkom od 0,7% BDP-a, odnosno 1,5% BDP-a u 2024., 0,8% BDP-a u 2025. te 0,6% BDP-a do kraja 2026. godine. Ovim je ispunjen kriterij proračunskog manjka sukladno odredbama Pakta o stabilnosti i rastu. Udio javnog duga u nominalnoj vrijednosti BDP-a će se kontinuirano nastaviti smanjivati u promatranom srednjoročnom razdoblju i to sa 62,6% BDP-a u 2023., na 59,8% BDP-a u 2024. odnosno 57,5% u 2025. te 55,6% BDP-a u 2026. godini</w:t>
      </w:r>
    </w:p>
    <w:p w14:paraId="25FD2EC5" w14:textId="77777777" w:rsidR="00D54306" w:rsidRPr="00D54306" w:rsidRDefault="00D54306" w:rsidP="00D54306">
      <w:pPr>
        <w:ind w:firstLine="357"/>
        <w:jc w:val="both"/>
        <w:rPr>
          <w:rFonts w:ascii="Times New Roman" w:eastAsia="Times New Roman" w:hAnsi="Times New Roman" w:cs="Times New Roman"/>
          <w:noProof w:val="0"/>
          <w:lang w:eastAsia="hr-HR"/>
        </w:rPr>
      </w:pPr>
    </w:p>
    <w:p w14:paraId="7CF7FD80"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Sukladno navedenom Proračun Općine Kneževi Vinogradi za razdoblje 2024.-2026.biti će usmjeren na:</w:t>
      </w:r>
      <w:r w:rsidRPr="00D54306">
        <w:rPr>
          <w:rFonts w:ascii="Times New Roman" w:eastAsia="Times New Roman" w:hAnsi="Times New Roman" w:cs="Times New Roman"/>
          <w:b/>
          <w:noProof w:val="0"/>
          <w:lang w:eastAsia="hr-HR"/>
        </w:rPr>
        <w:t xml:space="preserve"> </w:t>
      </w:r>
      <w:r w:rsidRPr="00D54306">
        <w:rPr>
          <w:rFonts w:ascii="Times New Roman" w:eastAsia="Times New Roman" w:hAnsi="Times New Roman" w:cs="Times New Roman"/>
          <w:noProof w:val="0"/>
          <w:lang w:eastAsia="hr-HR"/>
        </w:rPr>
        <w:t xml:space="preserve">konsolidaciju proračunskih tijekova i uspostavljanje strukturne ravnoteže prihoda i rashoda proračuna Općine Kneževi Vinogradi, održivi gospodarski razvoj i poticanje investitora na otvaranje novih pogona, a samim time i novih radnih mjesta, razvoj ljudskih potencijala, porast životnog standarda kroz daljnji razvoj prometne, komunalne, društvene i socijalne infrastrukture, promoviranje i poticanje kulturnih događanja, te očuvanje spomeničke i sakralne kulture, održavanje i poticanje socijalnih programa, očuvanje okoliša, razvoj sustava gospodarenja otpadom, unaprjeđenje korištenja obnovljivih izvora energije i energetske efikasnosti, unaprjeđenje kvalitete odgojno-obrazovnog sustava, razvoj turizma, poticanje sporta i sportskih aktivnosti. </w:t>
      </w:r>
    </w:p>
    <w:p w14:paraId="50C511B5" w14:textId="77777777" w:rsidR="00D54306" w:rsidRPr="00D54306" w:rsidRDefault="00D54306" w:rsidP="00D54306">
      <w:pPr>
        <w:jc w:val="both"/>
        <w:rPr>
          <w:rFonts w:ascii="Times New Roman" w:eastAsia="Times New Roman" w:hAnsi="Times New Roman" w:cs="Times New Roman"/>
          <w:noProof w:val="0"/>
          <w:sz w:val="24"/>
          <w:szCs w:val="24"/>
          <w:lang w:eastAsia="hr-HR"/>
        </w:rPr>
      </w:pPr>
    </w:p>
    <w:p w14:paraId="3345307C" w14:textId="77777777" w:rsidR="00D54306" w:rsidRPr="00D54306" w:rsidRDefault="00D54306" w:rsidP="00D54306">
      <w:pPr>
        <w:jc w:val="both"/>
        <w:rPr>
          <w:rFonts w:ascii="Times New Roman" w:eastAsia="Times New Roman" w:hAnsi="Times New Roman" w:cs="Times New Roman"/>
          <w:noProof w:val="0"/>
          <w:sz w:val="24"/>
          <w:szCs w:val="24"/>
          <w:lang w:eastAsia="hr-HR"/>
        </w:rPr>
      </w:pPr>
    </w:p>
    <w:p w14:paraId="0061D5D3" w14:textId="77777777" w:rsidR="00D54306" w:rsidRPr="00D54306" w:rsidRDefault="00D54306" w:rsidP="00D54306">
      <w:pPr>
        <w:ind w:left="360" w:hanging="360"/>
        <w:contextualSpacing/>
        <w:rPr>
          <w:rFonts w:ascii="Times New Roman" w:eastAsia="Times New Roman" w:hAnsi="Times New Roman" w:cs="Times New Roman"/>
          <w:b/>
          <w:bCs/>
          <w:noProof w:val="0"/>
          <w:spacing w:val="-10"/>
          <w:kern w:val="28"/>
          <w:sz w:val="28"/>
          <w:szCs w:val="28"/>
          <w:lang w:eastAsia="hr-HR"/>
        </w:rPr>
      </w:pPr>
      <w:r w:rsidRPr="00D54306">
        <w:rPr>
          <w:rFonts w:ascii="Times New Roman" w:eastAsia="Times New Roman" w:hAnsi="Times New Roman" w:cs="Times New Roman"/>
          <w:b/>
          <w:bCs/>
          <w:noProof w:val="0"/>
          <w:spacing w:val="-10"/>
          <w:kern w:val="28"/>
          <w:sz w:val="28"/>
          <w:szCs w:val="28"/>
          <w:lang w:eastAsia="hr-HR"/>
        </w:rPr>
        <w:t xml:space="preserve">OPIS PLANIRANIH POLITIKA OPĆINE KNEŽEVI VINOGRADI </w:t>
      </w:r>
    </w:p>
    <w:p w14:paraId="4454ABC9" w14:textId="77777777" w:rsidR="00D54306" w:rsidRPr="00D54306" w:rsidRDefault="00D54306" w:rsidP="00D54306">
      <w:pPr>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 </w:t>
      </w:r>
    </w:p>
    <w:p w14:paraId="7F4F1755"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Općina Kneževi Vinogradi će temeljem raspoloživih ljudskih, materijalnih i financijskih resursa provoditi politiku osiguranja uvjeta za gospodarski i društveni razvitak, kvalitetu posla, kvalitetu stanovanja i života koristeći svoju prometnu povezanost, multikulturalnost i prirodno i kulturno bogatstvo za razvoj u modernu  gospodarsko razvijenu općinu </w:t>
      </w:r>
      <w:r w:rsidRPr="00D54306">
        <w:rPr>
          <w:rFonts w:ascii="Times New Roman" w:eastAsia="Times New Roman" w:hAnsi="Times New Roman" w:cs="Times New Roman"/>
          <w:noProof w:val="0"/>
          <w:shd w:val="clear" w:color="auto" w:fill="FFFFFF"/>
          <w:lang w:eastAsia="hr-HR"/>
        </w:rPr>
        <w:t xml:space="preserve">s novim urbanim sadržajima i kvalitetom koja privlači mlade. </w:t>
      </w:r>
    </w:p>
    <w:p w14:paraId="183F13E3" w14:textId="77777777" w:rsidR="00D54306" w:rsidRPr="00D54306" w:rsidRDefault="00D54306" w:rsidP="00D54306">
      <w:pPr>
        <w:jc w:val="both"/>
        <w:rPr>
          <w:rFonts w:ascii="Times New Roman" w:eastAsia="Times New Roman" w:hAnsi="Times New Roman" w:cs="Times New Roman"/>
          <w:noProof w:val="0"/>
          <w:lang w:eastAsia="hr-HR"/>
        </w:rPr>
      </w:pPr>
    </w:p>
    <w:p w14:paraId="46EAB69E"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Mjere i aktivnosti za projekcije Općine precizirati će se na godišnjem nivou i projekcijama za trogodišnje razdoblje i to sukladno donošenju Proračuna prema programskoj klasifikaciji i  odredbama Pravilnika o proračunskim klasifikacijama, a u skladu sa normativnim ustrojem te izvršavanju prihoda Proračuna Općine Kneževi Vinogradi, te mogućoj potpori unutar županije, opće države i ostalih institucija pri tekućim i kapitalnim investicijskim ulaganjima.</w:t>
      </w:r>
    </w:p>
    <w:p w14:paraId="356CAC5B" w14:textId="77777777" w:rsidR="00D54306" w:rsidRPr="00D54306" w:rsidRDefault="00D54306" w:rsidP="00D54306">
      <w:pPr>
        <w:jc w:val="both"/>
        <w:rPr>
          <w:rFonts w:ascii="Times New Roman" w:eastAsia="Times New Roman" w:hAnsi="Times New Roman" w:cs="Times New Roman"/>
          <w:noProof w:val="0"/>
          <w:lang w:eastAsia="hr-HR"/>
        </w:rPr>
      </w:pPr>
    </w:p>
    <w:p w14:paraId="251CFA8C" w14:textId="77777777" w:rsidR="00D54306" w:rsidRPr="00D54306" w:rsidRDefault="00D54306" w:rsidP="00D54306">
      <w:pPr>
        <w:jc w:val="both"/>
        <w:rPr>
          <w:rFonts w:ascii="Times New Roman" w:eastAsia="Times New Roman" w:hAnsi="Times New Roman" w:cs="Times New Roman"/>
          <w:noProof w:val="0"/>
          <w:lang w:eastAsia="hr-HR"/>
        </w:rPr>
      </w:pPr>
    </w:p>
    <w:p w14:paraId="63C49E61" w14:textId="77777777" w:rsidR="00D54306" w:rsidRPr="00D54306" w:rsidRDefault="00D54306" w:rsidP="00D54306">
      <w:pPr>
        <w:ind w:left="360" w:hanging="360"/>
        <w:contextualSpacing/>
        <w:rPr>
          <w:rFonts w:ascii="Times New Roman" w:eastAsia="Times New Roman" w:hAnsi="Times New Roman" w:cs="Times New Roman"/>
          <w:b/>
          <w:bCs/>
          <w:noProof w:val="0"/>
          <w:spacing w:val="-10"/>
          <w:kern w:val="28"/>
          <w:sz w:val="28"/>
          <w:szCs w:val="28"/>
          <w:lang w:eastAsia="hr-HR"/>
        </w:rPr>
      </w:pPr>
      <w:r w:rsidRPr="00D54306">
        <w:rPr>
          <w:rFonts w:ascii="Times New Roman" w:eastAsia="Times New Roman" w:hAnsi="Times New Roman" w:cs="Times New Roman"/>
          <w:b/>
          <w:bCs/>
          <w:noProof w:val="0"/>
          <w:spacing w:val="-10"/>
          <w:kern w:val="28"/>
          <w:sz w:val="28"/>
          <w:szCs w:val="28"/>
          <w:lang w:eastAsia="hr-HR"/>
        </w:rPr>
        <w:lastRenderedPageBreak/>
        <w:t>PROCJENA PRIHODA I RASHODA TE PRIMITAKA I IZDATAKA PRORAČUNA OPĆINE KNEŽEVI VINOGRADI ZA RAZDOBLJE 2024-2026. GODINE</w:t>
      </w:r>
    </w:p>
    <w:p w14:paraId="08FCE10F" w14:textId="77777777" w:rsidR="00D54306" w:rsidRPr="00D54306" w:rsidRDefault="00D54306" w:rsidP="00D54306">
      <w:pPr>
        <w:ind w:firstLine="708"/>
        <w:jc w:val="both"/>
        <w:rPr>
          <w:rFonts w:ascii="Times New Roman" w:eastAsia="Times New Roman" w:hAnsi="Times New Roman" w:cs="Times New Roman"/>
          <w:noProof w:val="0"/>
        </w:rPr>
      </w:pPr>
    </w:p>
    <w:p w14:paraId="6852AC8D" w14:textId="77777777" w:rsidR="00D54306" w:rsidRPr="00D54306" w:rsidRDefault="00D54306" w:rsidP="00D54306">
      <w:pPr>
        <w:ind w:firstLine="708"/>
        <w:jc w:val="both"/>
        <w:rPr>
          <w:rFonts w:ascii="Times New Roman" w:eastAsia="Times New Roman" w:hAnsi="Times New Roman" w:cs="Times New Roman"/>
          <w:noProof w:val="0"/>
        </w:rPr>
      </w:pPr>
      <w:r w:rsidRPr="00D54306">
        <w:rPr>
          <w:rFonts w:ascii="Times New Roman" w:eastAsia="Times New Roman" w:hAnsi="Times New Roman" w:cs="Times New Roman"/>
          <w:noProof w:val="0"/>
        </w:rPr>
        <w:t xml:space="preserve">Od 2016. godine do danas provedena su četiri kruga porezne reforme kojima se postiglo rasterećenje poduzetnika i građana i to na svim poreznim oblicima. </w:t>
      </w:r>
    </w:p>
    <w:p w14:paraId="46B28E97" w14:textId="77777777" w:rsidR="00D54306" w:rsidRPr="00D54306" w:rsidRDefault="00D54306" w:rsidP="00D54306">
      <w:pPr>
        <w:ind w:firstLine="708"/>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Uvažavajući najavljene promjene u poreznom sustavu, te stvarno stanje i potrebe na terenu kao i trenutne i buduće obveze po kreditima Općina Kneževi Vinogradi izraditi će prijedlog proračuna za naredno razdoblje.</w:t>
      </w:r>
    </w:p>
    <w:p w14:paraId="4B1509E0" w14:textId="021275EB" w:rsidR="00D54306" w:rsidRPr="00D54306" w:rsidRDefault="00D54306" w:rsidP="00D54306">
      <w:pPr>
        <w:ind w:firstLine="708"/>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U trenutku pisanja ovih Uputa, u postupku je donošenje novog paketa poreznih propisa. U sklopu tog paketa između ostalog predložene su izmjene i dopune Zakona o porezu na dohodak i izmjene Zakona o lokalnim porezima. Napominjemo kako su izmjene navedenih</w:t>
      </w:r>
      <w:r>
        <w:rPr>
          <w:rFonts w:ascii="Times New Roman" w:eastAsia="Times New Roman" w:hAnsi="Times New Roman" w:cs="Times New Roman"/>
          <w:noProof w:val="0"/>
          <w:lang w:eastAsia="hr-HR"/>
        </w:rPr>
        <w:t xml:space="preserve"> </w:t>
      </w:r>
      <w:r w:rsidRPr="00D54306">
        <w:rPr>
          <w:rFonts w:ascii="Times New Roman" w:eastAsia="Times New Roman" w:hAnsi="Times New Roman" w:cs="Times New Roman"/>
          <w:noProof w:val="0"/>
          <w:lang w:eastAsia="hr-HR"/>
        </w:rPr>
        <w:t>Zakona u postupku donošenja.</w:t>
      </w:r>
    </w:p>
    <w:p w14:paraId="0128BA1C" w14:textId="77777777" w:rsidR="00D54306" w:rsidRPr="00D54306" w:rsidRDefault="00D54306" w:rsidP="00D54306">
      <w:pPr>
        <w:ind w:firstLine="708"/>
        <w:jc w:val="both"/>
        <w:rPr>
          <w:rFonts w:ascii="Times New Roman" w:eastAsia="Times New Roman" w:hAnsi="Times New Roman" w:cs="Times New Roman"/>
          <w:noProof w:val="0"/>
          <w:lang w:eastAsia="hr-HR"/>
        </w:rPr>
      </w:pPr>
    </w:p>
    <w:p w14:paraId="12786E96" w14:textId="77777777" w:rsidR="00D54306" w:rsidRPr="00D54306" w:rsidRDefault="00D54306" w:rsidP="00D54306">
      <w:pPr>
        <w:ind w:left="360" w:hanging="360"/>
        <w:contextualSpacing/>
        <w:rPr>
          <w:rFonts w:ascii="Times New Roman" w:eastAsia="Times New Roman" w:hAnsi="Times New Roman" w:cs="Times New Roman"/>
          <w:b/>
          <w:bCs/>
          <w:noProof w:val="0"/>
          <w:spacing w:val="-10"/>
          <w:kern w:val="28"/>
          <w:sz w:val="28"/>
          <w:szCs w:val="28"/>
          <w:lang w:eastAsia="hr-HR"/>
        </w:rPr>
      </w:pPr>
      <w:r w:rsidRPr="00D54306">
        <w:rPr>
          <w:rFonts w:ascii="Times New Roman" w:eastAsia="Times New Roman" w:hAnsi="Times New Roman" w:cs="Times New Roman"/>
          <w:b/>
          <w:bCs/>
          <w:noProof w:val="0"/>
          <w:spacing w:val="-10"/>
          <w:kern w:val="28"/>
          <w:sz w:val="28"/>
          <w:szCs w:val="28"/>
          <w:lang w:eastAsia="hr-HR"/>
        </w:rPr>
        <w:t>OKVIRNI PRIJEDLOG VISINE FINANCIJSKOG PLANA POJEDINOG KORISNIKA PRORAČUNA OPĆINE KNEŽEVI VINOGRADI ZA RAZDOBLJE 2024.-2026.GODINE</w:t>
      </w:r>
    </w:p>
    <w:p w14:paraId="31371CA1" w14:textId="77777777" w:rsidR="00D54306" w:rsidRPr="00D54306" w:rsidRDefault="00D54306" w:rsidP="00D54306">
      <w:pPr>
        <w:jc w:val="both"/>
        <w:rPr>
          <w:rFonts w:ascii="Times New Roman" w:eastAsia="Times New Roman" w:hAnsi="Times New Roman" w:cs="Times New Roman"/>
          <w:noProof w:val="0"/>
          <w:lang w:eastAsia="hr-HR"/>
        </w:rPr>
      </w:pPr>
    </w:p>
    <w:p w14:paraId="2A520AF1"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Vodeći računa o izvršenju financijskog plana za prethodnu proračunsku godinu (2022. godinu) i planu za tekuću proračunsku godinu (2023.), kao i polugodišnjem izvještaju o izvršenju Proračuna za 2023. godinu, a obzirom na fiskalne mogućnosti i ograničenja Proračuna kao i potporama iz Državnog proračuna planovi korisnika su limitirani. </w:t>
      </w:r>
    </w:p>
    <w:p w14:paraId="287A9575" w14:textId="77777777" w:rsidR="00D54306" w:rsidRPr="00D54306" w:rsidRDefault="00D54306" w:rsidP="00D54306">
      <w:pPr>
        <w:jc w:val="both"/>
        <w:rPr>
          <w:rFonts w:ascii="Times New Roman" w:eastAsia="Times New Roman" w:hAnsi="Times New Roman" w:cs="Times New Roman"/>
          <w:noProof w:val="0"/>
          <w:lang w:eastAsia="hr-HR"/>
        </w:rPr>
      </w:pPr>
    </w:p>
    <w:p w14:paraId="01C479CB"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Nivo rashoda i izdataka potrebno je u najvećoj mogućoj mjeri sinkronizirati na način da odgovaraju planu usvojenom za 2023. godinu.</w:t>
      </w:r>
    </w:p>
    <w:p w14:paraId="69811921" w14:textId="77777777" w:rsidR="00D54306" w:rsidRPr="00D54306" w:rsidRDefault="00D54306" w:rsidP="00D54306">
      <w:pPr>
        <w:jc w:val="both"/>
        <w:rPr>
          <w:rFonts w:ascii="Times New Roman" w:eastAsia="Times New Roman" w:hAnsi="Times New Roman" w:cs="Times New Roman"/>
          <w:noProof w:val="0"/>
          <w:lang w:eastAsia="hr-HR"/>
        </w:rPr>
      </w:pPr>
    </w:p>
    <w:p w14:paraId="18ADE7EA"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Zakonom o proračunu  uvedena je obveza jedinica lokalne i područne (regionalne) samouprave za utvrđivanje dvojnih limita za proračunske korisnike iz nadležnosti, odnosno jedinice lokalne i područne (regionalne) samouprave dužne su u svojim Uputama za izradu proračuna odrediti visinu financijskog plana po proračunskim korisnicima koja sadrži visinu financijskog plana za prethodnu proračunsku godinu i tekuću proračunsku godinu, te visinu financijskog plana za sljedeću proračunsku godinu i za sljedeće dvije godine, raspoređen na:</w:t>
      </w:r>
    </w:p>
    <w:p w14:paraId="62A6B16E" w14:textId="77777777" w:rsidR="00D54306" w:rsidRPr="00D54306" w:rsidRDefault="00D54306" w:rsidP="00D54306">
      <w:pPr>
        <w:ind w:firstLine="357"/>
        <w:jc w:val="both"/>
        <w:rPr>
          <w:rFonts w:ascii="Times New Roman" w:eastAsia="Times New Roman" w:hAnsi="Times New Roman" w:cs="Times New Roman"/>
          <w:noProof w:val="0"/>
          <w:lang w:eastAsia="hr-HR"/>
        </w:rPr>
      </w:pPr>
    </w:p>
    <w:p w14:paraId="2FF1B65C" w14:textId="77777777" w:rsidR="00D54306" w:rsidRPr="00D54306" w:rsidRDefault="00D54306" w:rsidP="00D54306">
      <w:pPr>
        <w:numPr>
          <w:ilvl w:val="0"/>
          <w:numId w:val="8"/>
        </w:numPr>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visinu sredstava potrebnih za provedbu postojećih programa, odnosno aktivnosti, koje proizlaze iz trenutno važećih propisa, i</w:t>
      </w:r>
    </w:p>
    <w:p w14:paraId="66EDA263" w14:textId="77777777" w:rsidR="00D54306" w:rsidRPr="00D54306" w:rsidRDefault="00D54306" w:rsidP="00D54306">
      <w:pPr>
        <w:numPr>
          <w:ilvl w:val="0"/>
          <w:numId w:val="8"/>
        </w:numPr>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visinu sredstava potrebnih za uvođenje i provedbu novih ili promjenu postojećih programa, odnosno aktivnosti.  </w:t>
      </w:r>
    </w:p>
    <w:p w14:paraId="457BAE4B" w14:textId="77777777" w:rsidR="00D54306" w:rsidRPr="00D54306" w:rsidRDefault="00D54306" w:rsidP="00D54306">
      <w:pPr>
        <w:rPr>
          <w:rFonts w:ascii="Times New Roman" w:eastAsia="Times New Roman" w:hAnsi="Times New Roman" w:cs="Times New Roman"/>
          <w:noProof w:val="0"/>
          <w:lang w:eastAsia="hr-HR"/>
        </w:rPr>
      </w:pPr>
    </w:p>
    <w:p w14:paraId="34DA5687" w14:textId="77777777" w:rsidR="00D54306" w:rsidRPr="00D54306" w:rsidRDefault="00D54306" w:rsidP="00D54306">
      <w:pPr>
        <w:ind w:firstLine="708"/>
        <w:jc w:val="both"/>
        <w:rPr>
          <w:rFonts w:ascii="Times New Roman" w:eastAsia="Times New Roman" w:hAnsi="Times New Roman" w:cs="Times New Roman"/>
          <w:b/>
          <w:noProof w:val="0"/>
          <w:lang w:eastAsia="hr-HR"/>
        </w:rPr>
      </w:pPr>
    </w:p>
    <w:p w14:paraId="3736465F" w14:textId="77777777" w:rsidR="00D54306" w:rsidRPr="00D54306" w:rsidRDefault="00D54306" w:rsidP="00D54306">
      <w:pPr>
        <w:jc w:val="both"/>
        <w:rPr>
          <w:rFonts w:ascii="Times New Roman" w:eastAsia="Times New Roman" w:hAnsi="Times New Roman" w:cs="Times New Roman"/>
          <w:b/>
          <w:noProof w:val="0"/>
          <w:lang w:eastAsia="hr-HR"/>
        </w:rPr>
        <w:sectPr w:rsidR="00D54306" w:rsidRPr="00D54306" w:rsidSect="002B6992">
          <w:footerReference w:type="default" r:id="rId10"/>
          <w:pgSz w:w="11906" w:h="16838"/>
          <w:pgMar w:top="709" w:right="1418" w:bottom="1021" w:left="1418" w:header="709" w:footer="709" w:gutter="0"/>
          <w:cols w:space="708"/>
          <w:docGrid w:linePitch="360"/>
        </w:sectPr>
      </w:pPr>
    </w:p>
    <w:p w14:paraId="38366F5F"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r w:rsidRPr="00D54306">
        <w:rPr>
          <w:rFonts w:ascii="Times New Roman" w:eastAsia="Times New Roman" w:hAnsi="Times New Roman" w:cs="Times New Roman"/>
          <w:b/>
          <w:noProof w:val="0"/>
          <w:sz w:val="24"/>
          <w:szCs w:val="24"/>
          <w:lang w:eastAsia="hr-HR"/>
        </w:rPr>
        <w:lastRenderedPageBreak/>
        <w:t>Sukladno gore navedenom sredstva za financiranje proračunskih korisnika Općine Kneževi Vinogradi za 2023. te projekcije za 2024. i 2025. godinu određena su u sljedećim iznosima:</w:t>
      </w:r>
    </w:p>
    <w:p w14:paraId="1B5B6695"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p>
    <w:p w14:paraId="1C7B1828"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r w:rsidRPr="00D54306">
        <w:rPr>
          <w:rFonts w:ascii="Times New Roman" w:eastAsia="Times New Roman" w:hAnsi="Times New Roman" w:cs="Times New Roman"/>
          <w:b/>
          <w:noProof w:val="0"/>
          <w:sz w:val="24"/>
          <w:szCs w:val="24"/>
          <w:lang w:eastAsia="hr-HR"/>
        </w:rPr>
        <w:t>Dječji vrtić „ZEKO“:</w:t>
      </w:r>
    </w:p>
    <w:tbl>
      <w:tblPr>
        <w:tblW w:w="14464" w:type="dxa"/>
        <w:tblInd w:w="-10" w:type="dxa"/>
        <w:tblLook w:val="04A0" w:firstRow="1" w:lastRow="0" w:firstColumn="1" w:lastColumn="0" w:noHBand="0" w:noVBand="1"/>
      </w:tblPr>
      <w:tblGrid>
        <w:gridCol w:w="951"/>
        <w:gridCol w:w="1590"/>
        <w:gridCol w:w="1180"/>
        <w:gridCol w:w="1179"/>
        <w:gridCol w:w="1171"/>
        <w:gridCol w:w="987"/>
        <w:gridCol w:w="1156"/>
        <w:gridCol w:w="1026"/>
        <w:gridCol w:w="930"/>
        <w:gridCol w:w="1156"/>
        <w:gridCol w:w="13"/>
        <w:gridCol w:w="1143"/>
        <w:gridCol w:w="794"/>
        <w:gridCol w:w="1175"/>
        <w:gridCol w:w="13"/>
      </w:tblGrid>
      <w:tr w:rsidR="00D54306" w:rsidRPr="00D54306" w14:paraId="35E7A808" w14:textId="77777777" w:rsidTr="00981375">
        <w:trPr>
          <w:trHeight w:val="495"/>
        </w:trPr>
        <w:tc>
          <w:tcPr>
            <w:tcW w:w="951" w:type="dxa"/>
            <w:tcBorders>
              <w:top w:val="single" w:sz="8" w:space="0" w:color="auto"/>
              <w:left w:val="single" w:sz="8" w:space="0" w:color="auto"/>
              <w:bottom w:val="single" w:sz="8" w:space="0" w:color="auto"/>
              <w:right w:val="single" w:sz="8" w:space="0" w:color="auto"/>
            </w:tcBorders>
            <w:shd w:val="clear" w:color="000000" w:fill="9CC2E5"/>
            <w:vAlign w:val="center"/>
            <w:hideMark/>
          </w:tcPr>
          <w:p w14:paraId="395A6896"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RKP</w:t>
            </w:r>
          </w:p>
        </w:tc>
        <w:tc>
          <w:tcPr>
            <w:tcW w:w="1590" w:type="dxa"/>
            <w:tcBorders>
              <w:top w:val="single" w:sz="8" w:space="0" w:color="auto"/>
              <w:left w:val="nil"/>
              <w:bottom w:val="single" w:sz="8" w:space="0" w:color="auto"/>
              <w:right w:val="single" w:sz="8" w:space="0" w:color="auto"/>
            </w:tcBorders>
            <w:shd w:val="clear" w:color="000000" w:fill="9CC2E5"/>
            <w:vAlign w:val="center"/>
            <w:hideMark/>
          </w:tcPr>
          <w:p w14:paraId="5C6B02DB"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Općina </w:t>
            </w:r>
            <w:proofErr w:type="spellStart"/>
            <w:r w:rsidRPr="00D54306">
              <w:rPr>
                <w:rFonts w:ascii="Times New Roman" w:eastAsia="Times New Roman" w:hAnsi="Times New Roman" w:cs="Times New Roman"/>
                <w:b/>
                <w:bCs/>
                <w:noProof w:val="0"/>
                <w:color w:val="000000"/>
                <w:sz w:val="18"/>
                <w:szCs w:val="18"/>
                <w:lang w:eastAsia="hr-HR"/>
              </w:rPr>
              <w:t>Kn.Vinogradi</w:t>
            </w:r>
            <w:proofErr w:type="spellEnd"/>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9CC2E5"/>
            <w:vAlign w:val="center"/>
            <w:hideMark/>
          </w:tcPr>
          <w:p w14:paraId="10596686" w14:textId="77777777" w:rsidR="00D54306" w:rsidRPr="00D54306" w:rsidRDefault="00D54306" w:rsidP="00D54306">
            <w:pPr>
              <w:jc w:val="both"/>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Ostvareno u 2022.</w:t>
            </w:r>
          </w:p>
        </w:tc>
        <w:tc>
          <w:tcPr>
            <w:tcW w:w="1179" w:type="dxa"/>
            <w:vMerge w:val="restart"/>
            <w:tcBorders>
              <w:top w:val="single" w:sz="8" w:space="0" w:color="auto"/>
              <w:left w:val="single" w:sz="8" w:space="0" w:color="auto"/>
              <w:bottom w:val="single" w:sz="8" w:space="0" w:color="000000"/>
              <w:right w:val="single" w:sz="8" w:space="0" w:color="auto"/>
            </w:tcBorders>
            <w:shd w:val="clear" w:color="000000" w:fill="9CC2E5"/>
            <w:vAlign w:val="center"/>
            <w:hideMark/>
          </w:tcPr>
          <w:p w14:paraId="50BEE9C9" w14:textId="77777777" w:rsidR="00D54306" w:rsidRPr="00D54306" w:rsidRDefault="00D54306" w:rsidP="00D54306">
            <w:pPr>
              <w:jc w:val="both"/>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Planirano do kraja 2023.</w:t>
            </w:r>
          </w:p>
        </w:tc>
        <w:tc>
          <w:tcPr>
            <w:tcW w:w="3314" w:type="dxa"/>
            <w:gridSpan w:val="3"/>
            <w:tcBorders>
              <w:top w:val="single" w:sz="8" w:space="0" w:color="auto"/>
              <w:left w:val="nil"/>
              <w:bottom w:val="single" w:sz="8" w:space="0" w:color="auto"/>
              <w:right w:val="single" w:sz="8" w:space="0" w:color="000000"/>
            </w:tcBorders>
            <w:shd w:val="clear" w:color="000000" w:fill="9CC2E5"/>
            <w:vAlign w:val="center"/>
            <w:hideMark/>
          </w:tcPr>
          <w:p w14:paraId="471BAC52" w14:textId="77777777" w:rsidR="00D54306" w:rsidRPr="00D54306" w:rsidRDefault="00D54306" w:rsidP="00D54306">
            <w:pPr>
              <w:jc w:val="center"/>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2024. </w:t>
            </w:r>
          </w:p>
        </w:tc>
        <w:tc>
          <w:tcPr>
            <w:tcW w:w="3125" w:type="dxa"/>
            <w:gridSpan w:val="4"/>
            <w:tcBorders>
              <w:top w:val="single" w:sz="8" w:space="0" w:color="auto"/>
              <w:left w:val="nil"/>
              <w:bottom w:val="single" w:sz="8" w:space="0" w:color="auto"/>
              <w:right w:val="single" w:sz="8" w:space="0" w:color="000000"/>
            </w:tcBorders>
            <w:shd w:val="clear" w:color="000000" w:fill="9CC2E5"/>
            <w:vAlign w:val="center"/>
            <w:hideMark/>
          </w:tcPr>
          <w:p w14:paraId="0BAE99A3" w14:textId="77777777" w:rsidR="00D54306" w:rsidRPr="00D54306" w:rsidRDefault="00D54306" w:rsidP="00D54306">
            <w:pPr>
              <w:jc w:val="center"/>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2025. </w:t>
            </w:r>
          </w:p>
        </w:tc>
        <w:tc>
          <w:tcPr>
            <w:tcW w:w="3125" w:type="dxa"/>
            <w:gridSpan w:val="4"/>
            <w:tcBorders>
              <w:top w:val="single" w:sz="8" w:space="0" w:color="auto"/>
              <w:left w:val="nil"/>
              <w:bottom w:val="single" w:sz="8" w:space="0" w:color="auto"/>
              <w:right w:val="single" w:sz="8" w:space="0" w:color="000000"/>
            </w:tcBorders>
            <w:shd w:val="clear" w:color="000000" w:fill="9CC2E5"/>
            <w:vAlign w:val="center"/>
            <w:hideMark/>
          </w:tcPr>
          <w:p w14:paraId="4448BF82" w14:textId="77777777" w:rsidR="00D54306" w:rsidRPr="00D54306" w:rsidRDefault="00D54306" w:rsidP="00D54306">
            <w:pPr>
              <w:jc w:val="center"/>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2026. </w:t>
            </w:r>
          </w:p>
        </w:tc>
      </w:tr>
      <w:tr w:rsidR="00D54306" w:rsidRPr="00D54306" w14:paraId="5DE19A25" w14:textId="77777777" w:rsidTr="00D54306">
        <w:trPr>
          <w:gridAfter w:val="1"/>
          <w:wAfter w:w="13" w:type="dxa"/>
          <w:trHeight w:val="315"/>
        </w:trPr>
        <w:tc>
          <w:tcPr>
            <w:tcW w:w="951"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13261187" w14:textId="77777777" w:rsidR="00D54306" w:rsidRPr="00D54306" w:rsidRDefault="00D54306" w:rsidP="00D54306">
            <w:pPr>
              <w:jc w:val="center"/>
              <w:rPr>
                <w:rFonts w:ascii="Times New Roman" w:eastAsia="Times New Roman" w:hAnsi="Times New Roman" w:cs="Times New Roman"/>
                <w:b/>
                <w:noProof w:val="0"/>
                <w:color w:val="000000"/>
                <w:sz w:val="18"/>
                <w:szCs w:val="18"/>
                <w:lang w:eastAsia="hr-HR"/>
              </w:rPr>
            </w:pPr>
            <w:r w:rsidRPr="00D54306">
              <w:rPr>
                <w:rFonts w:ascii="Times New Roman" w:eastAsia="Times New Roman" w:hAnsi="Times New Roman" w:cs="Times New Roman"/>
                <w:b/>
                <w:noProof w:val="0"/>
                <w:color w:val="000000"/>
                <w:sz w:val="18"/>
                <w:szCs w:val="18"/>
                <w:lang w:eastAsia="hr-HR"/>
              </w:rPr>
              <w:t>36014</w:t>
            </w:r>
          </w:p>
        </w:tc>
        <w:tc>
          <w:tcPr>
            <w:tcW w:w="1590" w:type="dxa"/>
            <w:tcBorders>
              <w:top w:val="nil"/>
              <w:left w:val="nil"/>
              <w:bottom w:val="single" w:sz="8" w:space="0" w:color="auto"/>
              <w:right w:val="single" w:sz="8" w:space="0" w:color="auto"/>
            </w:tcBorders>
            <w:shd w:val="clear" w:color="auto" w:fill="F7CAAC"/>
            <w:vAlign w:val="center"/>
            <w:hideMark/>
          </w:tcPr>
          <w:p w14:paraId="367B1A9F"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Dječji vrtić ZEKO</w:t>
            </w: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2BB9108B"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p>
        </w:tc>
        <w:tc>
          <w:tcPr>
            <w:tcW w:w="1179" w:type="dxa"/>
            <w:vMerge/>
            <w:tcBorders>
              <w:top w:val="single" w:sz="8" w:space="0" w:color="auto"/>
              <w:left w:val="single" w:sz="8" w:space="0" w:color="auto"/>
              <w:bottom w:val="single" w:sz="8" w:space="0" w:color="000000"/>
              <w:right w:val="single" w:sz="8" w:space="0" w:color="auto"/>
            </w:tcBorders>
            <w:vAlign w:val="center"/>
            <w:hideMark/>
          </w:tcPr>
          <w:p w14:paraId="75BC629C"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p>
        </w:tc>
        <w:tc>
          <w:tcPr>
            <w:tcW w:w="1171" w:type="dxa"/>
            <w:tcBorders>
              <w:top w:val="nil"/>
              <w:left w:val="nil"/>
              <w:bottom w:val="single" w:sz="8" w:space="0" w:color="auto"/>
              <w:right w:val="single" w:sz="8" w:space="0" w:color="auto"/>
            </w:tcBorders>
            <w:shd w:val="clear" w:color="000000" w:fill="9CC2E5"/>
            <w:vAlign w:val="center"/>
            <w:hideMark/>
          </w:tcPr>
          <w:p w14:paraId="571FEAC3"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1.limit</w:t>
            </w:r>
          </w:p>
        </w:tc>
        <w:tc>
          <w:tcPr>
            <w:tcW w:w="987" w:type="dxa"/>
            <w:tcBorders>
              <w:top w:val="nil"/>
              <w:left w:val="nil"/>
              <w:bottom w:val="single" w:sz="8" w:space="0" w:color="auto"/>
              <w:right w:val="single" w:sz="8" w:space="0" w:color="auto"/>
            </w:tcBorders>
            <w:shd w:val="clear" w:color="000000" w:fill="9CC2E5"/>
            <w:vAlign w:val="center"/>
            <w:hideMark/>
          </w:tcPr>
          <w:p w14:paraId="7E7E30D9"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2.limit</w:t>
            </w:r>
          </w:p>
        </w:tc>
        <w:tc>
          <w:tcPr>
            <w:tcW w:w="1156" w:type="dxa"/>
            <w:tcBorders>
              <w:top w:val="nil"/>
              <w:left w:val="nil"/>
              <w:bottom w:val="single" w:sz="8" w:space="0" w:color="auto"/>
              <w:right w:val="single" w:sz="8" w:space="0" w:color="auto"/>
            </w:tcBorders>
            <w:shd w:val="clear" w:color="000000" w:fill="9CC2E5"/>
            <w:vAlign w:val="center"/>
            <w:hideMark/>
          </w:tcPr>
          <w:p w14:paraId="4A24F842"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Plan 2024</w:t>
            </w:r>
          </w:p>
        </w:tc>
        <w:tc>
          <w:tcPr>
            <w:tcW w:w="1026" w:type="dxa"/>
            <w:tcBorders>
              <w:top w:val="nil"/>
              <w:left w:val="nil"/>
              <w:bottom w:val="single" w:sz="8" w:space="0" w:color="auto"/>
              <w:right w:val="single" w:sz="8" w:space="0" w:color="auto"/>
            </w:tcBorders>
            <w:shd w:val="clear" w:color="000000" w:fill="9CC2E5"/>
            <w:vAlign w:val="center"/>
            <w:hideMark/>
          </w:tcPr>
          <w:p w14:paraId="0754C689"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1.limit</w:t>
            </w:r>
          </w:p>
        </w:tc>
        <w:tc>
          <w:tcPr>
            <w:tcW w:w="930" w:type="dxa"/>
            <w:tcBorders>
              <w:top w:val="nil"/>
              <w:left w:val="nil"/>
              <w:bottom w:val="single" w:sz="8" w:space="0" w:color="auto"/>
              <w:right w:val="single" w:sz="8" w:space="0" w:color="auto"/>
            </w:tcBorders>
            <w:shd w:val="clear" w:color="000000" w:fill="9CC2E5"/>
            <w:vAlign w:val="center"/>
            <w:hideMark/>
          </w:tcPr>
          <w:p w14:paraId="5A511EFB"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2.limit</w:t>
            </w:r>
          </w:p>
        </w:tc>
        <w:tc>
          <w:tcPr>
            <w:tcW w:w="1156" w:type="dxa"/>
            <w:tcBorders>
              <w:top w:val="nil"/>
              <w:left w:val="nil"/>
              <w:bottom w:val="single" w:sz="8" w:space="0" w:color="auto"/>
              <w:right w:val="single" w:sz="8" w:space="0" w:color="auto"/>
            </w:tcBorders>
            <w:shd w:val="clear" w:color="000000" w:fill="9CC2E5"/>
            <w:vAlign w:val="center"/>
            <w:hideMark/>
          </w:tcPr>
          <w:p w14:paraId="751E5946"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Plan 2025</w:t>
            </w:r>
          </w:p>
        </w:tc>
        <w:tc>
          <w:tcPr>
            <w:tcW w:w="1156" w:type="dxa"/>
            <w:gridSpan w:val="2"/>
            <w:tcBorders>
              <w:top w:val="nil"/>
              <w:left w:val="nil"/>
              <w:bottom w:val="single" w:sz="8" w:space="0" w:color="auto"/>
              <w:right w:val="single" w:sz="8" w:space="0" w:color="auto"/>
            </w:tcBorders>
            <w:shd w:val="clear" w:color="000000" w:fill="9CC2E5"/>
            <w:vAlign w:val="center"/>
            <w:hideMark/>
          </w:tcPr>
          <w:p w14:paraId="2853C752"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1.limit</w:t>
            </w:r>
          </w:p>
        </w:tc>
        <w:tc>
          <w:tcPr>
            <w:tcW w:w="794" w:type="dxa"/>
            <w:tcBorders>
              <w:top w:val="nil"/>
              <w:left w:val="nil"/>
              <w:bottom w:val="single" w:sz="8" w:space="0" w:color="auto"/>
              <w:right w:val="single" w:sz="8" w:space="0" w:color="auto"/>
            </w:tcBorders>
            <w:shd w:val="clear" w:color="000000" w:fill="9CC2E5"/>
            <w:vAlign w:val="center"/>
            <w:hideMark/>
          </w:tcPr>
          <w:p w14:paraId="3112560E"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2.limit</w:t>
            </w:r>
          </w:p>
        </w:tc>
        <w:tc>
          <w:tcPr>
            <w:tcW w:w="1175" w:type="dxa"/>
            <w:tcBorders>
              <w:top w:val="nil"/>
              <w:left w:val="nil"/>
              <w:bottom w:val="single" w:sz="8" w:space="0" w:color="auto"/>
              <w:right w:val="single" w:sz="8" w:space="0" w:color="auto"/>
            </w:tcBorders>
            <w:shd w:val="clear" w:color="000000" w:fill="9CC2E5"/>
            <w:vAlign w:val="center"/>
            <w:hideMark/>
          </w:tcPr>
          <w:p w14:paraId="277C1295"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Plan 2026</w:t>
            </w:r>
          </w:p>
        </w:tc>
      </w:tr>
      <w:tr w:rsidR="00D54306" w:rsidRPr="00D54306" w14:paraId="72264C01" w14:textId="77777777" w:rsidTr="00981375">
        <w:trPr>
          <w:gridAfter w:val="1"/>
          <w:wAfter w:w="13" w:type="dxa"/>
          <w:trHeight w:val="735"/>
        </w:trPr>
        <w:tc>
          <w:tcPr>
            <w:tcW w:w="951" w:type="dxa"/>
            <w:vMerge/>
            <w:tcBorders>
              <w:top w:val="nil"/>
              <w:left w:val="single" w:sz="8" w:space="0" w:color="auto"/>
              <w:bottom w:val="single" w:sz="8" w:space="0" w:color="000000"/>
              <w:right w:val="single" w:sz="8" w:space="0" w:color="auto"/>
            </w:tcBorders>
            <w:vAlign w:val="center"/>
            <w:hideMark/>
          </w:tcPr>
          <w:p w14:paraId="32E36A3D"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590"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596F761B"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Program: 0020201 Javne potrebe u predškolskom odgoju</w:t>
            </w:r>
          </w:p>
        </w:tc>
        <w:tc>
          <w:tcPr>
            <w:tcW w:w="1180"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2412E2BF"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221.273,77</w:t>
            </w:r>
          </w:p>
        </w:tc>
        <w:tc>
          <w:tcPr>
            <w:tcW w:w="1179"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0391734F"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287.755,00</w:t>
            </w:r>
          </w:p>
        </w:tc>
        <w:tc>
          <w:tcPr>
            <w:tcW w:w="1171"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7E0160D5"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290.000,00</w:t>
            </w:r>
          </w:p>
        </w:tc>
        <w:tc>
          <w:tcPr>
            <w:tcW w:w="987"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15ECC1FE"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3.000,00</w:t>
            </w:r>
          </w:p>
        </w:tc>
        <w:tc>
          <w:tcPr>
            <w:tcW w:w="1156"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36DAF56E"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293.000,00</w:t>
            </w:r>
          </w:p>
        </w:tc>
        <w:tc>
          <w:tcPr>
            <w:tcW w:w="1026"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090653BB"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292.000,00</w:t>
            </w:r>
          </w:p>
        </w:tc>
        <w:tc>
          <w:tcPr>
            <w:tcW w:w="930"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52C6ED72"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3.000,00</w:t>
            </w:r>
          </w:p>
        </w:tc>
        <w:tc>
          <w:tcPr>
            <w:tcW w:w="1156"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34901751"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295.000,00</w:t>
            </w:r>
          </w:p>
        </w:tc>
        <w:tc>
          <w:tcPr>
            <w:tcW w:w="1156" w:type="dxa"/>
            <w:gridSpan w:val="2"/>
            <w:vMerge w:val="restart"/>
            <w:tcBorders>
              <w:top w:val="nil"/>
              <w:left w:val="single" w:sz="8" w:space="0" w:color="auto"/>
              <w:bottom w:val="single" w:sz="8" w:space="0" w:color="000000"/>
              <w:right w:val="single" w:sz="8" w:space="0" w:color="auto"/>
            </w:tcBorders>
            <w:shd w:val="clear" w:color="000000" w:fill="BDD6EE"/>
            <w:vAlign w:val="center"/>
            <w:hideMark/>
          </w:tcPr>
          <w:p w14:paraId="16DB3D4B"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305.000,00</w:t>
            </w:r>
          </w:p>
        </w:tc>
        <w:tc>
          <w:tcPr>
            <w:tcW w:w="794"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73CB28EE"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0,00</w:t>
            </w:r>
          </w:p>
        </w:tc>
        <w:tc>
          <w:tcPr>
            <w:tcW w:w="1175"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53EE25A0"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305.000,00</w:t>
            </w:r>
          </w:p>
        </w:tc>
      </w:tr>
      <w:tr w:rsidR="00D54306" w:rsidRPr="00D54306" w14:paraId="18665DD7" w14:textId="77777777" w:rsidTr="00981375">
        <w:trPr>
          <w:gridAfter w:val="1"/>
          <w:wAfter w:w="13" w:type="dxa"/>
          <w:trHeight w:val="315"/>
        </w:trPr>
        <w:tc>
          <w:tcPr>
            <w:tcW w:w="951" w:type="dxa"/>
            <w:vMerge/>
            <w:tcBorders>
              <w:top w:val="nil"/>
              <w:left w:val="single" w:sz="8" w:space="0" w:color="auto"/>
              <w:bottom w:val="single" w:sz="8" w:space="0" w:color="000000"/>
              <w:right w:val="single" w:sz="8" w:space="0" w:color="auto"/>
            </w:tcBorders>
            <w:vAlign w:val="center"/>
            <w:hideMark/>
          </w:tcPr>
          <w:p w14:paraId="423EBD3F"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590" w:type="dxa"/>
            <w:vMerge/>
            <w:tcBorders>
              <w:top w:val="nil"/>
              <w:left w:val="single" w:sz="8" w:space="0" w:color="auto"/>
              <w:bottom w:val="single" w:sz="8" w:space="0" w:color="000000"/>
              <w:right w:val="single" w:sz="8" w:space="0" w:color="auto"/>
            </w:tcBorders>
            <w:vAlign w:val="center"/>
            <w:hideMark/>
          </w:tcPr>
          <w:p w14:paraId="7BEEEF87"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p>
        </w:tc>
        <w:tc>
          <w:tcPr>
            <w:tcW w:w="1180" w:type="dxa"/>
            <w:vMerge/>
            <w:tcBorders>
              <w:top w:val="nil"/>
              <w:left w:val="single" w:sz="8" w:space="0" w:color="auto"/>
              <w:bottom w:val="single" w:sz="8" w:space="0" w:color="000000"/>
              <w:right w:val="single" w:sz="8" w:space="0" w:color="auto"/>
            </w:tcBorders>
            <w:vAlign w:val="center"/>
            <w:hideMark/>
          </w:tcPr>
          <w:p w14:paraId="1867FF7D"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179" w:type="dxa"/>
            <w:vMerge/>
            <w:tcBorders>
              <w:top w:val="nil"/>
              <w:left w:val="single" w:sz="8" w:space="0" w:color="auto"/>
              <w:bottom w:val="single" w:sz="8" w:space="0" w:color="000000"/>
              <w:right w:val="single" w:sz="8" w:space="0" w:color="auto"/>
            </w:tcBorders>
            <w:vAlign w:val="center"/>
            <w:hideMark/>
          </w:tcPr>
          <w:p w14:paraId="68C1122F"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171" w:type="dxa"/>
            <w:vMerge/>
            <w:tcBorders>
              <w:top w:val="nil"/>
              <w:left w:val="single" w:sz="8" w:space="0" w:color="auto"/>
              <w:bottom w:val="single" w:sz="8" w:space="0" w:color="000000"/>
              <w:right w:val="single" w:sz="8" w:space="0" w:color="auto"/>
            </w:tcBorders>
            <w:vAlign w:val="center"/>
            <w:hideMark/>
          </w:tcPr>
          <w:p w14:paraId="51E3829E"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987" w:type="dxa"/>
            <w:vMerge/>
            <w:tcBorders>
              <w:top w:val="nil"/>
              <w:left w:val="single" w:sz="8" w:space="0" w:color="auto"/>
              <w:bottom w:val="single" w:sz="8" w:space="0" w:color="000000"/>
              <w:right w:val="single" w:sz="8" w:space="0" w:color="auto"/>
            </w:tcBorders>
            <w:vAlign w:val="center"/>
            <w:hideMark/>
          </w:tcPr>
          <w:p w14:paraId="2016D6AB"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156" w:type="dxa"/>
            <w:vMerge/>
            <w:tcBorders>
              <w:top w:val="nil"/>
              <w:left w:val="single" w:sz="8" w:space="0" w:color="auto"/>
              <w:bottom w:val="single" w:sz="8" w:space="0" w:color="000000"/>
              <w:right w:val="single" w:sz="8" w:space="0" w:color="auto"/>
            </w:tcBorders>
            <w:vAlign w:val="center"/>
            <w:hideMark/>
          </w:tcPr>
          <w:p w14:paraId="27362DD9"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026" w:type="dxa"/>
            <w:vMerge/>
            <w:tcBorders>
              <w:top w:val="nil"/>
              <w:left w:val="single" w:sz="8" w:space="0" w:color="auto"/>
              <w:bottom w:val="single" w:sz="8" w:space="0" w:color="000000"/>
              <w:right w:val="single" w:sz="8" w:space="0" w:color="auto"/>
            </w:tcBorders>
            <w:vAlign w:val="center"/>
            <w:hideMark/>
          </w:tcPr>
          <w:p w14:paraId="64899B7F"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930" w:type="dxa"/>
            <w:vMerge/>
            <w:tcBorders>
              <w:top w:val="nil"/>
              <w:left w:val="single" w:sz="8" w:space="0" w:color="auto"/>
              <w:bottom w:val="single" w:sz="8" w:space="0" w:color="000000"/>
              <w:right w:val="single" w:sz="8" w:space="0" w:color="auto"/>
            </w:tcBorders>
            <w:vAlign w:val="center"/>
            <w:hideMark/>
          </w:tcPr>
          <w:p w14:paraId="0E1F43C9"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156" w:type="dxa"/>
            <w:vMerge/>
            <w:tcBorders>
              <w:top w:val="nil"/>
              <w:left w:val="single" w:sz="8" w:space="0" w:color="auto"/>
              <w:bottom w:val="single" w:sz="8" w:space="0" w:color="000000"/>
              <w:right w:val="single" w:sz="8" w:space="0" w:color="auto"/>
            </w:tcBorders>
            <w:vAlign w:val="center"/>
            <w:hideMark/>
          </w:tcPr>
          <w:p w14:paraId="60783808"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156" w:type="dxa"/>
            <w:gridSpan w:val="2"/>
            <w:vMerge/>
            <w:tcBorders>
              <w:top w:val="nil"/>
              <w:left w:val="single" w:sz="8" w:space="0" w:color="auto"/>
              <w:bottom w:val="single" w:sz="8" w:space="0" w:color="000000"/>
              <w:right w:val="single" w:sz="8" w:space="0" w:color="auto"/>
            </w:tcBorders>
            <w:vAlign w:val="center"/>
            <w:hideMark/>
          </w:tcPr>
          <w:p w14:paraId="7F0A65B7"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794" w:type="dxa"/>
            <w:vMerge/>
            <w:tcBorders>
              <w:top w:val="nil"/>
              <w:left w:val="single" w:sz="8" w:space="0" w:color="auto"/>
              <w:bottom w:val="single" w:sz="8" w:space="0" w:color="000000"/>
              <w:right w:val="single" w:sz="8" w:space="0" w:color="auto"/>
            </w:tcBorders>
            <w:vAlign w:val="center"/>
            <w:hideMark/>
          </w:tcPr>
          <w:p w14:paraId="4CED2360"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175" w:type="dxa"/>
            <w:vMerge/>
            <w:tcBorders>
              <w:top w:val="nil"/>
              <w:left w:val="single" w:sz="8" w:space="0" w:color="auto"/>
              <w:bottom w:val="single" w:sz="8" w:space="0" w:color="000000"/>
              <w:right w:val="single" w:sz="8" w:space="0" w:color="auto"/>
            </w:tcBorders>
            <w:vAlign w:val="center"/>
            <w:hideMark/>
          </w:tcPr>
          <w:p w14:paraId="40730A7E"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r>
      <w:tr w:rsidR="00D54306" w:rsidRPr="00D54306" w14:paraId="211DA4D6" w14:textId="77777777" w:rsidTr="00D54306">
        <w:trPr>
          <w:gridAfter w:val="1"/>
          <w:wAfter w:w="13" w:type="dxa"/>
          <w:trHeight w:val="315"/>
        </w:trPr>
        <w:tc>
          <w:tcPr>
            <w:tcW w:w="951" w:type="dxa"/>
            <w:vMerge/>
            <w:tcBorders>
              <w:top w:val="nil"/>
              <w:left w:val="single" w:sz="8" w:space="0" w:color="auto"/>
              <w:bottom w:val="single" w:sz="8" w:space="0" w:color="000000"/>
              <w:right w:val="single" w:sz="8" w:space="0" w:color="auto"/>
            </w:tcBorders>
            <w:vAlign w:val="center"/>
          </w:tcPr>
          <w:p w14:paraId="2A2AC152"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590" w:type="dxa"/>
            <w:tcBorders>
              <w:top w:val="nil"/>
              <w:left w:val="single" w:sz="8" w:space="0" w:color="auto"/>
              <w:bottom w:val="single" w:sz="8" w:space="0" w:color="000000"/>
              <w:right w:val="single" w:sz="8" w:space="0" w:color="auto"/>
            </w:tcBorders>
            <w:shd w:val="clear" w:color="auto" w:fill="DEEAF6"/>
            <w:vAlign w:val="center"/>
          </w:tcPr>
          <w:p w14:paraId="454733D1"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Izvor: 1.1. Opći prihodi</w:t>
            </w:r>
          </w:p>
        </w:tc>
        <w:tc>
          <w:tcPr>
            <w:tcW w:w="1180" w:type="dxa"/>
            <w:tcBorders>
              <w:top w:val="nil"/>
              <w:left w:val="single" w:sz="8" w:space="0" w:color="auto"/>
              <w:bottom w:val="single" w:sz="8" w:space="0" w:color="000000"/>
              <w:right w:val="single" w:sz="8" w:space="0" w:color="auto"/>
            </w:tcBorders>
            <w:shd w:val="clear" w:color="auto" w:fill="DEEAF6"/>
            <w:vAlign w:val="center"/>
          </w:tcPr>
          <w:p w14:paraId="579BA846"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221.273,77</w:t>
            </w:r>
          </w:p>
        </w:tc>
        <w:tc>
          <w:tcPr>
            <w:tcW w:w="1179" w:type="dxa"/>
            <w:tcBorders>
              <w:top w:val="nil"/>
              <w:left w:val="single" w:sz="8" w:space="0" w:color="auto"/>
              <w:bottom w:val="single" w:sz="8" w:space="0" w:color="000000"/>
              <w:right w:val="single" w:sz="8" w:space="0" w:color="auto"/>
            </w:tcBorders>
            <w:shd w:val="clear" w:color="auto" w:fill="DEEAF6"/>
            <w:vAlign w:val="center"/>
          </w:tcPr>
          <w:p w14:paraId="09936CFC"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287.755,00</w:t>
            </w:r>
          </w:p>
        </w:tc>
        <w:tc>
          <w:tcPr>
            <w:tcW w:w="1171" w:type="dxa"/>
            <w:tcBorders>
              <w:top w:val="nil"/>
              <w:left w:val="single" w:sz="8" w:space="0" w:color="auto"/>
              <w:bottom w:val="single" w:sz="8" w:space="0" w:color="000000"/>
              <w:right w:val="single" w:sz="8" w:space="0" w:color="auto"/>
            </w:tcBorders>
            <w:shd w:val="clear" w:color="auto" w:fill="DEEAF6"/>
            <w:vAlign w:val="center"/>
          </w:tcPr>
          <w:p w14:paraId="77C8B412"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290.000,00</w:t>
            </w:r>
          </w:p>
        </w:tc>
        <w:tc>
          <w:tcPr>
            <w:tcW w:w="987" w:type="dxa"/>
            <w:tcBorders>
              <w:top w:val="nil"/>
              <w:left w:val="single" w:sz="8" w:space="0" w:color="auto"/>
              <w:bottom w:val="single" w:sz="8" w:space="0" w:color="000000"/>
              <w:right w:val="single" w:sz="8" w:space="0" w:color="auto"/>
            </w:tcBorders>
            <w:shd w:val="clear" w:color="auto" w:fill="DEEAF6"/>
            <w:vAlign w:val="center"/>
          </w:tcPr>
          <w:p w14:paraId="69B0FD0A"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3.000,00</w:t>
            </w:r>
          </w:p>
        </w:tc>
        <w:tc>
          <w:tcPr>
            <w:tcW w:w="1156" w:type="dxa"/>
            <w:tcBorders>
              <w:top w:val="nil"/>
              <w:left w:val="single" w:sz="8" w:space="0" w:color="auto"/>
              <w:bottom w:val="single" w:sz="8" w:space="0" w:color="000000"/>
              <w:right w:val="single" w:sz="8" w:space="0" w:color="auto"/>
            </w:tcBorders>
            <w:shd w:val="clear" w:color="auto" w:fill="DEEAF6"/>
            <w:vAlign w:val="center"/>
          </w:tcPr>
          <w:p w14:paraId="45E8550E"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293.000,00</w:t>
            </w:r>
          </w:p>
        </w:tc>
        <w:tc>
          <w:tcPr>
            <w:tcW w:w="1026" w:type="dxa"/>
            <w:tcBorders>
              <w:top w:val="nil"/>
              <w:left w:val="single" w:sz="8" w:space="0" w:color="auto"/>
              <w:bottom w:val="single" w:sz="8" w:space="0" w:color="000000"/>
              <w:right w:val="single" w:sz="8" w:space="0" w:color="auto"/>
            </w:tcBorders>
            <w:shd w:val="clear" w:color="auto" w:fill="DEEAF6"/>
            <w:vAlign w:val="center"/>
          </w:tcPr>
          <w:p w14:paraId="7D13CD8D"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292.000,00</w:t>
            </w:r>
          </w:p>
        </w:tc>
        <w:tc>
          <w:tcPr>
            <w:tcW w:w="930" w:type="dxa"/>
            <w:tcBorders>
              <w:top w:val="nil"/>
              <w:left w:val="single" w:sz="8" w:space="0" w:color="auto"/>
              <w:bottom w:val="single" w:sz="8" w:space="0" w:color="000000"/>
              <w:right w:val="single" w:sz="8" w:space="0" w:color="auto"/>
            </w:tcBorders>
            <w:shd w:val="clear" w:color="auto" w:fill="DEEAF6"/>
            <w:vAlign w:val="center"/>
          </w:tcPr>
          <w:p w14:paraId="7BC1A7C2"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3.000,00</w:t>
            </w:r>
          </w:p>
        </w:tc>
        <w:tc>
          <w:tcPr>
            <w:tcW w:w="1156" w:type="dxa"/>
            <w:tcBorders>
              <w:top w:val="nil"/>
              <w:left w:val="single" w:sz="8" w:space="0" w:color="auto"/>
              <w:bottom w:val="single" w:sz="8" w:space="0" w:color="000000"/>
              <w:right w:val="single" w:sz="8" w:space="0" w:color="auto"/>
            </w:tcBorders>
            <w:shd w:val="clear" w:color="auto" w:fill="DEEAF6"/>
            <w:vAlign w:val="center"/>
          </w:tcPr>
          <w:p w14:paraId="4F4DC253"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295.000,00</w:t>
            </w:r>
          </w:p>
        </w:tc>
        <w:tc>
          <w:tcPr>
            <w:tcW w:w="1156" w:type="dxa"/>
            <w:gridSpan w:val="2"/>
            <w:tcBorders>
              <w:top w:val="nil"/>
              <w:left w:val="single" w:sz="8" w:space="0" w:color="auto"/>
              <w:bottom w:val="single" w:sz="8" w:space="0" w:color="000000"/>
              <w:right w:val="single" w:sz="8" w:space="0" w:color="auto"/>
            </w:tcBorders>
            <w:shd w:val="clear" w:color="auto" w:fill="DEEAF6"/>
            <w:vAlign w:val="center"/>
          </w:tcPr>
          <w:p w14:paraId="7524C5F0"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305.000,00</w:t>
            </w:r>
          </w:p>
        </w:tc>
        <w:tc>
          <w:tcPr>
            <w:tcW w:w="794" w:type="dxa"/>
            <w:tcBorders>
              <w:top w:val="nil"/>
              <w:left w:val="single" w:sz="8" w:space="0" w:color="auto"/>
              <w:bottom w:val="single" w:sz="8" w:space="0" w:color="000000"/>
              <w:right w:val="single" w:sz="8" w:space="0" w:color="auto"/>
            </w:tcBorders>
            <w:shd w:val="clear" w:color="auto" w:fill="DEEAF6"/>
            <w:vAlign w:val="center"/>
          </w:tcPr>
          <w:p w14:paraId="1ECA7596"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0,00</w:t>
            </w:r>
          </w:p>
        </w:tc>
        <w:tc>
          <w:tcPr>
            <w:tcW w:w="1175" w:type="dxa"/>
            <w:tcBorders>
              <w:top w:val="nil"/>
              <w:left w:val="single" w:sz="8" w:space="0" w:color="auto"/>
              <w:bottom w:val="single" w:sz="8" w:space="0" w:color="000000"/>
              <w:right w:val="single" w:sz="8" w:space="0" w:color="auto"/>
            </w:tcBorders>
            <w:shd w:val="clear" w:color="auto" w:fill="DEEAF6"/>
            <w:vAlign w:val="center"/>
          </w:tcPr>
          <w:p w14:paraId="580DB676"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305.000,00</w:t>
            </w:r>
          </w:p>
        </w:tc>
      </w:tr>
      <w:tr w:rsidR="00D54306" w:rsidRPr="00D54306" w14:paraId="0ED26141" w14:textId="77777777" w:rsidTr="00981375">
        <w:trPr>
          <w:gridAfter w:val="1"/>
          <w:wAfter w:w="13" w:type="dxa"/>
          <w:trHeight w:val="645"/>
        </w:trPr>
        <w:tc>
          <w:tcPr>
            <w:tcW w:w="951" w:type="dxa"/>
            <w:vMerge/>
            <w:tcBorders>
              <w:top w:val="nil"/>
              <w:left w:val="single" w:sz="8" w:space="0" w:color="auto"/>
              <w:bottom w:val="single" w:sz="8" w:space="0" w:color="000000"/>
              <w:right w:val="single" w:sz="8" w:space="0" w:color="auto"/>
            </w:tcBorders>
            <w:vAlign w:val="center"/>
            <w:hideMark/>
          </w:tcPr>
          <w:p w14:paraId="094962AA"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590" w:type="dxa"/>
            <w:tcBorders>
              <w:top w:val="nil"/>
              <w:left w:val="nil"/>
              <w:bottom w:val="single" w:sz="8" w:space="0" w:color="auto"/>
              <w:right w:val="single" w:sz="8" w:space="0" w:color="auto"/>
            </w:tcBorders>
            <w:vAlign w:val="center"/>
            <w:hideMark/>
          </w:tcPr>
          <w:p w14:paraId="5F5ABAB8"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Aktivnost: A100001 Redovan rad vrtića</w:t>
            </w:r>
          </w:p>
        </w:tc>
        <w:tc>
          <w:tcPr>
            <w:tcW w:w="1180" w:type="dxa"/>
            <w:tcBorders>
              <w:top w:val="nil"/>
              <w:left w:val="nil"/>
              <w:bottom w:val="single" w:sz="8" w:space="0" w:color="auto"/>
              <w:right w:val="single" w:sz="8" w:space="0" w:color="auto"/>
            </w:tcBorders>
            <w:vAlign w:val="center"/>
            <w:hideMark/>
          </w:tcPr>
          <w:p w14:paraId="36BA1011"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221.273,77</w:t>
            </w:r>
          </w:p>
        </w:tc>
        <w:tc>
          <w:tcPr>
            <w:tcW w:w="1179" w:type="dxa"/>
            <w:tcBorders>
              <w:top w:val="nil"/>
              <w:left w:val="nil"/>
              <w:bottom w:val="single" w:sz="8" w:space="0" w:color="auto"/>
              <w:right w:val="single" w:sz="8" w:space="0" w:color="auto"/>
            </w:tcBorders>
            <w:vAlign w:val="center"/>
            <w:hideMark/>
          </w:tcPr>
          <w:p w14:paraId="1B07333F"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278.455,00</w:t>
            </w:r>
          </w:p>
        </w:tc>
        <w:tc>
          <w:tcPr>
            <w:tcW w:w="1171" w:type="dxa"/>
            <w:tcBorders>
              <w:top w:val="nil"/>
              <w:left w:val="nil"/>
              <w:bottom w:val="single" w:sz="8" w:space="0" w:color="auto"/>
              <w:right w:val="single" w:sz="8" w:space="0" w:color="auto"/>
            </w:tcBorders>
            <w:vAlign w:val="center"/>
            <w:hideMark/>
          </w:tcPr>
          <w:p w14:paraId="7E45ADE8"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290.000,00</w:t>
            </w:r>
          </w:p>
        </w:tc>
        <w:tc>
          <w:tcPr>
            <w:tcW w:w="987" w:type="dxa"/>
            <w:tcBorders>
              <w:top w:val="nil"/>
              <w:left w:val="nil"/>
              <w:bottom w:val="single" w:sz="8" w:space="0" w:color="auto"/>
              <w:right w:val="single" w:sz="8" w:space="0" w:color="auto"/>
            </w:tcBorders>
            <w:vAlign w:val="center"/>
            <w:hideMark/>
          </w:tcPr>
          <w:p w14:paraId="522D9C0F"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3.000,00</w:t>
            </w:r>
          </w:p>
        </w:tc>
        <w:tc>
          <w:tcPr>
            <w:tcW w:w="1156" w:type="dxa"/>
            <w:tcBorders>
              <w:top w:val="nil"/>
              <w:left w:val="nil"/>
              <w:bottom w:val="single" w:sz="8" w:space="0" w:color="auto"/>
              <w:right w:val="single" w:sz="8" w:space="0" w:color="auto"/>
            </w:tcBorders>
            <w:vAlign w:val="center"/>
            <w:hideMark/>
          </w:tcPr>
          <w:p w14:paraId="3AC8D22D"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293.000,00</w:t>
            </w:r>
          </w:p>
        </w:tc>
        <w:tc>
          <w:tcPr>
            <w:tcW w:w="1026" w:type="dxa"/>
            <w:tcBorders>
              <w:top w:val="nil"/>
              <w:left w:val="nil"/>
              <w:bottom w:val="single" w:sz="8" w:space="0" w:color="auto"/>
              <w:right w:val="single" w:sz="8" w:space="0" w:color="auto"/>
            </w:tcBorders>
            <w:vAlign w:val="center"/>
            <w:hideMark/>
          </w:tcPr>
          <w:p w14:paraId="4533E350"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292.000,00</w:t>
            </w:r>
          </w:p>
        </w:tc>
        <w:tc>
          <w:tcPr>
            <w:tcW w:w="930" w:type="dxa"/>
            <w:tcBorders>
              <w:top w:val="nil"/>
              <w:left w:val="nil"/>
              <w:bottom w:val="single" w:sz="8" w:space="0" w:color="auto"/>
              <w:right w:val="single" w:sz="8" w:space="0" w:color="auto"/>
            </w:tcBorders>
            <w:vAlign w:val="center"/>
            <w:hideMark/>
          </w:tcPr>
          <w:p w14:paraId="72A43B2B"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3.000,00</w:t>
            </w:r>
          </w:p>
        </w:tc>
        <w:tc>
          <w:tcPr>
            <w:tcW w:w="1156" w:type="dxa"/>
            <w:tcBorders>
              <w:top w:val="nil"/>
              <w:left w:val="nil"/>
              <w:bottom w:val="single" w:sz="8" w:space="0" w:color="auto"/>
              <w:right w:val="single" w:sz="8" w:space="0" w:color="auto"/>
            </w:tcBorders>
            <w:vAlign w:val="center"/>
            <w:hideMark/>
          </w:tcPr>
          <w:p w14:paraId="217EC8EC"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295.000,00</w:t>
            </w:r>
          </w:p>
        </w:tc>
        <w:tc>
          <w:tcPr>
            <w:tcW w:w="1156" w:type="dxa"/>
            <w:gridSpan w:val="2"/>
            <w:tcBorders>
              <w:top w:val="nil"/>
              <w:left w:val="nil"/>
              <w:bottom w:val="single" w:sz="8" w:space="0" w:color="auto"/>
              <w:right w:val="single" w:sz="8" w:space="0" w:color="auto"/>
            </w:tcBorders>
            <w:vAlign w:val="center"/>
            <w:hideMark/>
          </w:tcPr>
          <w:p w14:paraId="17EED995"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305.000,00</w:t>
            </w:r>
          </w:p>
        </w:tc>
        <w:tc>
          <w:tcPr>
            <w:tcW w:w="794" w:type="dxa"/>
            <w:tcBorders>
              <w:top w:val="nil"/>
              <w:left w:val="nil"/>
              <w:bottom w:val="single" w:sz="8" w:space="0" w:color="auto"/>
              <w:right w:val="single" w:sz="8" w:space="0" w:color="auto"/>
            </w:tcBorders>
            <w:vAlign w:val="center"/>
            <w:hideMark/>
          </w:tcPr>
          <w:p w14:paraId="411DE66C"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0,00</w:t>
            </w:r>
          </w:p>
        </w:tc>
        <w:tc>
          <w:tcPr>
            <w:tcW w:w="1175" w:type="dxa"/>
            <w:tcBorders>
              <w:top w:val="nil"/>
              <w:left w:val="nil"/>
              <w:bottom w:val="single" w:sz="8" w:space="0" w:color="auto"/>
              <w:right w:val="single" w:sz="8" w:space="0" w:color="auto"/>
            </w:tcBorders>
            <w:vAlign w:val="center"/>
            <w:hideMark/>
          </w:tcPr>
          <w:p w14:paraId="331D870A"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305.000,00</w:t>
            </w:r>
          </w:p>
        </w:tc>
      </w:tr>
      <w:tr w:rsidR="00D54306" w:rsidRPr="00D54306" w14:paraId="527CDB9C" w14:textId="77777777" w:rsidTr="00981375">
        <w:trPr>
          <w:gridAfter w:val="1"/>
          <w:wAfter w:w="13" w:type="dxa"/>
          <w:trHeight w:val="315"/>
        </w:trPr>
        <w:tc>
          <w:tcPr>
            <w:tcW w:w="951" w:type="dxa"/>
            <w:vMerge/>
            <w:tcBorders>
              <w:top w:val="nil"/>
              <w:left w:val="single" w:sz="8" w:space="0" w:color="auto"/>
              <w:bottom w:val="single" w:sz="8" w:space="0" w:color="000000"/>
              <w:right w:val="single" w:sz="8" w:space="0" w:color="auto"/>
            </w:tcBorders>
            <w:vAlign w:val="center"/>
            <w:hideMark/>
          </w:tcPr>
          <w:p w14:paraId="37E9AD31"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590" w:type="dxa"/>
            <w:tcBorders>
              <w:top w:val="nil"/>
              <w:left w:val="nil"/>
              <w:bottom w:val="single" w:sz="8" w:space="0" w:color="auto"/>
              <w:right w:val="single" w:sz="8" w:space="0" w:color="auto"/>
            </w:tcBorders>
            <w:vAlign w:val="center"/>
            <w:hideMark/>
          </w:tcPr>
          <w:p w14:paraId="1AA5FB95" w14:textId="77777777" w:rsidR="00D54306" w:rsidRPr="00D54306" w:rsidRDefault="00D54306" w:rsidP="00D54306">
            <w:pPr>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Rashodi za zaposlene</w:t>
            </w:r>
          </w:p>
        </w:tc>
        <w:tc>
          <w:tcPr>
            <w:tcW w:w="1180" w:type="dxa"/>
            <w:tcBorders>
              <w:top w:val="nil"/>
              <w:left w:val="nil"/>
              <w:bottom w:val="single" w:sz="8" w:space="0" w:color="auto"/>
              <w:right w:val="single" w:sz="8" w:space="0" w:color="auto"/>
            </w:tcBorders>
            <w:vAlign w:val="center"/>
            <w:hideMark/>
          </w:tcPr>
          <w:p w14:paraId="6CB1413E"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210.454,61</w:t>
            </w:r>
          </w:p>
        </w:tc>
        <w:tc>
          <w:tcPr>
            <w:tcW w:w="1179" w:type="dxa"/>
            <w:tcBorders>
              <w:top w:val="nil"/>
              <w:left w:val="nil"/>
              <w:bottom w:val="single" w:sz="8" w:space="0" w:color="auto"/>
              <w:right w:val="single" w:sz="8" w:space="0" w:color="auto"/>
            </w:tcBorders>
            <w:vAlign w:val="center"/>
            <w:hideMark/>
          </w:tcPr>
          <w:p w14:paraId="6720D79D"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264.455,00</w:t>
            </w:r>
          </w:p>
        </w:tc>
        <w:tc>
          <w:tcPr>
            <w:tcW w:w="1171" w:type="dxa"/>
            <w:tcBorders>
              <w:top w:val="nil"/>
              <w:left w:val="nil"/>
              <w:bottom w:val="single" w:sz="8" w:space="0" w:color="auto"/>
              <w:right w:val="single" w:sz="8" w:space="0" w:color="auto"/>
            </w:tcBorders>
            <w:vAlign w:val="center"/>
            <w:hideMark/>
          </w:tcPr>
          <w:p w14:paraId="71FC980B"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278.000,00</w:t>
            </w:r>
          </w:p>
        </w:tc>
        <w:tc>
          <w:tcPr>
            <w:tcW w:w="987" w:type="dxa"/>
            <w:tcBorders>
              <w:top w:val="nil"/>
              <w:left w:val="nil"/>
              <w:bottom w:val="single" w:sz="8" w:space="0" w:color="auto"/>
              <w:right w:val="single" w:sz="8" w:space="0" w:color="auto"/>
            </w:tcBorders>
            <w:vAlign w:val="center"/>
            <w:hideMark/>
          </w:tcPr>
          <w:p w14:paraId="0261E16D"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1.000,00</w:t>
            </w:r>
          </w:p>
        </w:tc>
        <w:tc>
          <w:tcPr>
            <w:tcW w:w="1156" w:type="dxa"/>
            <w:tcBorders>
              <w:top w:val="nil"/>
              <w:left w:val="nil"/>
              <w:bottom w:val="single" w:sz="8" w:space="0" w:color="auto"/>
              <w:right w:val="single" w:sz="8" w:space="0" w:color="auto"/>
            </w:tcBorders>
            <w:vAlign w:val="center"/>
            <w:hideMark/>
          </w:tcPr>
          <w:p w14:paraId="0011B6CB"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279.000,00</w:t>
            </w:r>
          </w:p>
        </w:tc>
        <w:tc>
          <w:tcPr>
            <w:tcW w:w="1026" w:type="dxa"/>
            <w:tcBorders>
              <w:top w:val="nil"/>
              <w:left w:val="nil"/>
              <w:bottom w:val="single" w:sz="8" w:space="0" w:color="auto"/>
              <w:right w:val="single" w:sz="8" w:space="0" w:color="auto"/>
            </w:tcBorders>
            <w:vAlign w:val="center"/>
            <w:hideMark/>
          </w:tcPr>
          <w:p w14:paraId="429E32F6"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280.000,00</w:t>
            </w:r>
          </w:p>
        </w:tc>
        <w:tc>
          <w:tcPr>
            <w:tcW w:w="930" w:type="dxa"/>
            <w:tcBorders>
              <w:top w:val="nil"/>
              <w:left w:val="nil"/>
              <w:bottom w:val="single" w:sz="8" w:space="0" w:color="auto"/>
              <w:right w:val="single" w:sz="8" w:space="0" w:color="auto"/>
            </w:tcBorders>
            <w:vAlign w:val="center"/>
            <w:hideMark/>
          </w:tcPr>
          <w:p w14:paraId="4A15CE18"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0,00</w:t>
            </w:r>
          </w:p>
        </w:tc>
        <w:tc>
          <w:tcPr>
            <w:tcW w:w="1156" w:type="dxa"/>
            <w:tcBorders>
              <w:top w:val="nil"/>
              <w:left w:val="nil"/>
              <w:bottom w:val="single" w:sz="8" w:space="0" w:color="auto"/>
              <w:right w:val="single" w:sz="8" w:space="0" w:color="auto"/>
            </w:tcBorders>
            <w:vAlign w:val="center"/>
            <w:hideMark/>
          </w:tcPr>
          <w:p w14:paraId="4190499B"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280.000,00</w:t>
            </w:r>
          </w:p>
        </w:tc>
        <w:tc>
          <w:tcPr>
            <w:tcW w:w="1156" w:type="dxa"/>
            <w:gridSpan w:val="2"/>
            <w:tcBorders>
              <w:top w:val="nil"/>
              <w:left w:val="nil"/>
              <w:bottom w:val="single" w:sz="8" w:space="0" w:color="auto"/>
              <w:right w:val="single" w:sz="8" w:space="0" w:color="auto"/>
            </w:tcBorders>
            <w:vAlign w:val="center"/>
            <w:hideMark/>
          </w:tcPr>
          <w:p w14:paraId="5764A5CF"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290.000,00</w:t>
            </w:r>
          </w:p>
        </w:tc>
        <w:tc>
          <w:tcPr>
            <w:tcW w:w="794" w:type="dxa"/>
            <w:tcBorders>
              <w:top w:val="nil"/>
              <w:left w:val="nil"/>
              <w:bottom w:val="single" w:sz="8" w:space="0" w:color="auto"/>
              <w:right w:val="single" w:sz="8" w:space="0" w:color="auto"/>
            </w:tcBorders>
            <w:vAlign w:val="center"/>
            <w:hideMark/>
          </w:tcPr>
          <w:p w14:paraId="4B39E29F"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0,00</w:t>
            </w:r>
          </w:p>
        </w:tc>
        <w:tc>
          <w:tcPr>
            <w:tcW w:w="1175" w:type="dxa"/>
            <w:tcBorders>
              <w:top w:val="nil"/>
              <w:left w:val="nil"/>
              <w:bottom w:val="single" w:sz="8" w:space="0" w:color="auto"/>
              <w:right w:val="single" w:sz="8" w:space="0" w:color="auto"/>
            </w:tcBorders>
            <w:vAlign w:val="center"/>
            <w:hideMark/>
          </w:tcPr>
          <w:p w14:paraId="06B7C13C"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290.000,00</w:t>
            </w:r>
          </w:p>
        </w:tc>
      </w:tr>
      <w:tr w:rsidR="00D54306" w:rsidRPr="00D54306" w14:paraId="5DE155E4" w14:textId="77777777" w:rsidTr="00981375">
        <w:trPr>
          <w:gridAfter w:val="1"/>
          <w:wAfter w:w="13" w:type="dxa"/>
          <w:trHeight w:val="315"/>
        </w:trPr>
        <w:tc>
          <w:tcPr>
            <w:tcW w:w="951" w:type="dxa"/>
            <w:vMerge/>
            <w:tcBorders>
              <w:top w:val="nil"/>
              <w:left w:val="single" w:sz="8" w:space="0" w:color="auto"/>
              <w:bottom w:val="single" w:sz="8" w:space="0" w:color="000000"/>
              <w:right w:val="single" w:sz="8" w:space="0" w:color="auto"/>
            </w:tcBorders>
            <w:vAlign w:val="center"/>
            <w:hideMark/>
          </w:tcPr>
          <w:p w14:paraId="1B01CE16"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590" w:type="dxa"/>
            <w:tcBorders>
              <w:top w:val="nil"/>
              <w:left w:val="nil"/>
              <w:bottom w:val="single" w:sz="8" w:space="0" w:color="auto"/>
              <w:right w:val="single" w:sz="8" w:space="0" w:color="auto"/>
            </w:tcBorders>
            <w:vAlign w:val="center"/>
            <w:hideMark/>
          </w:tcPr>
          <w:p w14:paraId="2F4BD060" w14:textId="77777777" w:rsidR="00D54306" w:rsidRPr="00D54306" w:rsidRDefault="00D54306" w:rsidP="00D54306">
            <w:pPr>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Materijalni rashodi</w:t>
            </w:r>
          </w:p>
        </w:tc>
        <w:tc>
          <w:tcPr>
            <w:tcW w:w="1180" w:type="dxa"/>
            <w:tcBorders>
              <w:top w:val="nil"/>
              <w:left w:val="nil"/>
              <w:bottom w:val="single" w:sz="8" w:space="0" w:color="auto"/>
              <w:right w:val="single" w:sz="8" w:space="0" w:color="auto"/>
            </w:tcBorders>
            <w:vAlign w:val="center"/>
            <w:hideMark/>
          </w:tcPr>
          <w:p w14:paraId="0A85B710"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10.819,16</w:t>
            </w:r>
          </w:p>
        </w:tc>
        <w:tc>
          <w:tcPr>
            <w:tcW w:w="1179" w:type="dxa"/>
            <w:tcBorders>
              <w:top w:val="nil"/>
              <w:left w:val="nil"/>
              <w:bottom w:val="single" w:sz="8" w:space="0" w:color="auto"/>
              <w:right w:val="single" w:sz="8" w:space="0" w:color="auto"/>
            </w:tcBorders>
            <w:vAlign w:val="center"/>
            <w:hideMark/>
          </w:tcPr>
          <w:p w14:paraId="46CC9F87"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14.000,00</w:t>
            </w:r>
          </w:p>
        </w:tc>
        <w:tc>
          <w:tcPr>
            <w:tcW w:w="1171" w:type="dxa"/>
            <w:tcBorders>
              <w:top w:val="nil"/>
              <w:left w:val="nil"/>
              <w:bottom w:val="single" w:sz="8" w:space="0" w:color="auto"/>
              <w:right w:val="single" w:sz="8" w:space="0" w:color="auto"/>
            </w:tcBorders>
            <w:vAlign w:val="center"/>
            <w:hideMark/>
          </w:tcPr>
          <w:p w14:paraId="3310D928"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12.000,00</w:t>
            </w:r>
          </w:p>
        </w:tc>
        <w:tc>
          <w:tcPr>
            <w:tcW w:w="987" w:type="dxa"/>
            <w:tcBorders>
              <w:top w:val="nil"/>
              <w:left w:val="nil"/>
              <w:bottom w:val="single" w:sz="8" w:space="0" w:color="auto"/>
              <w:right w:val="single" w:sz="8" w:space="0" w:color="auto"/>
            </w:tcBorders>
            <w:vAlign w:val="center"/>
            <w:hideMark/>
          </w:tcPr>
          <w:p w14:paraId="2867A894"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2.000,00</w:t>
            </w:r>
          </w:p>
        </w:tc>
        <w:tc>
          <w:tcPr>
            <w:tcW w:w="1156" w:type="dxa"/>
            <w:tcBorders>
              <w:top w:val="nil"/>
              <w:left w:val="nil"/>
              <w:bottom w:val="single" w:sz="8" w:space="0" w:color="auto"/>
              <w:right w:val="single" w:sz="8" w:space="0" w:color="auto"/>
            </w:tcBorders>
            <w:vAlign w:val="center"/>
            <w:hideMark/>
          </w:tcPr>
          <w:p w14:paraId="2BBAEF76"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14.000,00</w:t>
            </w:r>
          </w:p>
        </w:tc>
        <w:tc>
          <w:tcPr>
            <w:tcW w:w="1026" w:type="dxa"/>
            <w:tcBorders>
              <w:top w:val="nil"/>
              <w:left w:val="nil"/>
              <w:bottom w:val="single" w:sz="8" w:space="0" w:color="auto"/>
              <w:right w:val="single" w:sz="8" w:space="0" w:color="auto"/>
            </w:tcBorders>
            <w:vAlign w:val="center"/>
            <w:hideMark/>
          </w:tcPr>
          <w:p w14:paraId="3D815676"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12.000,00</w:t>
            </w:r>
          </w:p>
        </w:tc>
        <w:tc>
          <w:tcPr>
            <w:tcW w:w="930" w:type="dxa"/>
            <w:tcBorders>
              <w:top w:val="nil"/>
              <w:left w:val="nil"/>
              <w:bottom w:val="single" w:sz="8" w:space="0" w:color="auto"/>
              <w:right w:val="single" w:sz="8" w:space="0" w:color="auto"/>
            </w:tcBorders>
            <w:vAlign w:val="center"/>
            <w:hideMark/>
          </w:tcPr>
          <w:p w14:paraId="25DEC97B"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3.000,00</w:t>
            </w:r>
          </w:p>
        </w:tc>
        <w:tc>
          <w:tcPr>
            <w:tcW w:w="1156" w:type="dxa"/>
            <w:tcBorders>
              <w:top w:val="nil"/>
              <w:left w:val="nil"/>
              <w:bottom w:val="single" w:sz="8" w:space="0" w:color="auto"/>
              <w:right w:val="single" w:sz="8" w:space="0" w:color="auto"/>
            </w:tcBorders>
            <w:vAlign w:val="center"/>
            <w:hideMark/>
          </w:tcPr>
          <w:p w14:paraId="6EE43AA3"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15.000,00</w:t>
            </w:r>
          </w:p>
        </w:tc>
        <w:tc>
          <w:tcPr>
            <w:tcW w:w="1156" w:type="dxa"/>
            <w:gridSpan w:val="2"/>
            <w:tcBorders>
              <w:top w:val="nil"/>
              <w:left w:val="nil"/>
              <w:bottom w:val="single" w:sz="8" w:space="0" w:color="auto"/>
              <w:right w:val="single" w:sz="8" w:space="0" w:color="auto"/>
            </w:tcBorders>
            <w:vAlign w:val="center"/>
            <w:hideMark/>
          </w:tcPr>
          <w:p w14:paraId="44AA7FF1"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15.000,00</w:t>
            </w:r>
          </w:p>
        </w:tc>
        <w:tc>
          <w:tcPr>
            <w:tcW w:w="794" w:type="dxa"/>
            <w:tcBorders>
              <w:top w:val="nil"/>
              <w:left w:val="nil"/>
              <w:bottom w:val="single" w:sz="8" w:space="0" w:color="auto"/>
              <w:right w:val="single" w:sz="8" w:space="0" w:color="auto"/>
            </w:tcBorders>
            <w:vAlign w:val="center"/>
            <w:hideMark/>
          </w:tcPr>
          <w:p w14:paraId="5BFB1CC9"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0,00</w:t>
            </w:r>
          </w:p>
        </w:tc>
        <w:tc>
          <w:tcPr>
            <w:tcW w:w="1175" w:type="dxa"/>
            <w:tcBorders>
              <w:top w:val="nil"/>
              <w:left w:val="nil"/>
              <w:bottom w:val="single" w:sz="8" w:space="0" w:color="auto"/>
              <w:right w:val="single" w:sz="8" w:space="0" w:color="auto"/>
            </w:tcBorders>
            <w:vAlign w:val="center"/>
            <w:hideMark/>
          </w:tcPr>
          <w:p w14:paraId="4B8C3BDC"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15.000,00</w:t>
            </w:r>
          </w:p>
        </w:tc>
      </w:tr>
      <w:tr w:rsidR="00D54306" w:rsidRPr="00D54306" w14:paraId="04747BA8" w14:textId="77777777" w:rsidTr="00981375">
        <w:trPr>
          <w:gridAfter w:val="1"/>
          <w:wAfter w:w="13" w:type="dxa"/>
          <w:trHeight w:val="645"/>
        </w:trPr>
        <w:tc>
          <w:tcPr>
            <w:tcW w:w="951" w:type="dxa"/>
            <w:vMerge/>
            <w:tcBorders>
              <w:top w:val="nil"/>
              <w:left w:val="single" w:sz="8" w:space="0" w:color="auto"/>
              <w:bottom w:val="single" w:sz="8" w:space="0" w:color="000000"/>
              <w:right w:val="single" w:sz="8" w:space="0" w:color="auto"/>
            </w:tcBorders>
            <w:vAlign w:val="center"/>
            <w:hideMark/>
          </w:tcPr>
          <w:p w14:paraId="28A8E60B"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590" w:type="dxa"/>
            <w:tcBorders>
              <w:top w:val="nil"/>
              <w:left w:val="nil"/>
              <w:bottom w:val="single" w:sz="8" w:space="0" w:color="auto"/>
              <w:right w:val="single" w:sz="8" w:space="0" w:color="auto"/>
            </w:tcBorders>
            <w:vAlign w:val="center"/>
            <w:hideMark/>
          </w:tcPr>
          <w:p w14:paraId="728E0225"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Tekući projekt: T100003 Tekuće održavanje objekta</w:t>
            </w:r>
          </w:p>
        </w:tc>
        <w:tc>
          <w:tcPr>
            <w:tcW w:w="1180" w:type="dxa"/>
            <w:tcBorders>
              <w:top w:val="nil"/>
              <w:left w:val="nil"/>
              <w:bottom w:val="single" w:sz="8" w:space="0" w:color="auto"/>
              <w:right w:val="single" w:sz="8" w:space="0" w:color="auto"/>
            </w:tcBorders>
            <w:vAlign w:val="center"/>
            <w:hideMark/>
          </w:tcPr>
          <w:p w14:paraId="4CF53097"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0</w:t>
            </w:r>
          </w:p>
        </w:tc>
        <w:tc>
          <w:tcPr>
            <w:tcW w:w="1179" w:type="dxa"/>
            <w:tcBorders>
              <w:top w:val="nil"/>
              <w:left w:val="nil"/>
              <w:bottom w:val="single" w:sz="8" w:space="0" w:color="auto"/>
              <w:right w:val="single" w:sz="8" w:space="0" w:color="auto"/>
            </w:tcBorders>
            <w:vAlign w:val="center"/>
            <w:hideMark/>
          </w:tcPr>
          <w:p w14:paraId="7555E11A"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9.300,00</w:t>
            </w:r>
          </w:p>
        </w:tc>
        <w:tc>
          <w:tcPr>
            <w:tcW w:w="1171" w:type="dxa"/>
            <w:tcBorders>
              <w:top w:val="nil"/>
              <w:left w:val="nil"/>
              <w:bottom w:val="single" w:sz="8" w:space="0" w:color="auto"/>
              <w:right w:val="single" w:sz="8" w:space="0" w:color="auto"/>
            </w:tcBorders>
            <w:vAlign w:val="center"/>
            <w:hideMark/>
          </w:tcPr>
          <w:p w14:paraId="7AA990E3"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987" w:type="dxa"/>
            <w:tcBorders>
              <w:top w:val="nil"/>
              <w:left w:val="nil"/>
              <w:bottom w:val="single" w:sz="8" w:space="0" w:color="auto"/>
              <w:right w:val="single" w:sz="8" w:space="0" w:color="auto"/>
            </w:tcBorders>
            <w:vAlign w:val="center"/>
            <w:hideMark/>
          </w:tcPr>
          <w:p w14:paraId="56284AC7"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156" w:type="dxa"/>
            <w:tcBorders>
              <w:top w:val="nil"/>
              <w:left w:val="nil"/>
              <w:bottom w:val="single" w:sz="8" w:space="0" w:color="auto"/>
              <w:right w:val="single" w:sz="8" w:space="0" w:color="auto"/>
            </w:tcBorders>
            <w:vAlign w:val="center"/>
            <w:hideMark/>
          </w:tcPr>
          <w:p w14:paraId="62C986F0"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026" w:type="dxa"/>
            <w:tcBorders>
              <w:top w:val="nil"/>
              <w:left w:val="nil"/>
              <w:bottom w:val="single" w:sz="8" w:space="0" w:color="auto"/>
              <w:right w:val="single" w:sz="8" w:space="0" w:color="auto"/>
            </w:tcBorders>
            <w:vAlign w:val="center"/>
            <w:hideMark/>
          </w:tcPr>
          <w:p w14:paraId="684A8C70"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930" w:type="dxa"/>
            <w:tcBorders>
              <w:top w:val="nil"/>
              <w:left w:val="nil"/>
              <w:bottom w:val="single" w:sz="8" w:space="0" w:color="auto"/>
              <w:right w:val="single" w:sz="8" w:space="0" w:color="auto"/>
            </w:tcBorders>
            <w:vAlign w:val="center"/>
            <w:hideMark/>
          </w:tcPr>
          <w:p w14:paraId="0EFA8A12"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156" w:type="dxa"/>
            <w:tcBorders>
              <w:top w:val="nil"/>
              <w:left w:val="nil"/>
              <w:bottom w:val="single" w:sz="8" w:space="0" w:color="auto"/>
              <w:right w:val="single" w:sz="8" w:space="0" w:color="auto"/>
            </w:tcBorders>
            <w:vAlign w:val="center"/>
            <w:hideMark/>
          </w:tcPr>
          <w:p w14:paraId="3C8F7ECD"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156" w:type="dxa"/>
            <w:gridSpan w:val="2"/>
            <w:tcBorders>
              <w:top w:val="nil"/>
              <w:left w:val="nil"/>
              <w:bottom w:val="single" w:sz="8" w:space="0" w:color="auto"/>
              <w:right w:val="single" w:sz="8" w:space="0" w:color="auto"/>
            </w:tcBorders>
            <w:vAlign w:val="center"/>
            <w:hideMark/>
          </w:tcPr>
          <w:p w14:paraId="68004308"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794" w:type="dxa"/>
            <w:tcBorders>
              <w:top w:val="nil"/>
              <w:left w:val="nil"/>
              <w:bottom w:val="single" w:sz="8" w:space="0" w:color="auto"/>
              <w:right w:val="single" w:sz="8" w:space="0" w:color="auto"/>
            </w:tcBorders>
            <w:vAlign w:val="center"/>
            <w:hideMark/>
          </w:tcPr>
          <w:p w14:paraId="6D186B76"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175" w:type="dxa"/>
            <w:tcBorders>
              <w:top w:val="nil"/>
              <w:left w:val="nil"/>
              <w:bottom w:val="single" w:sz="8" w:space="0" w:color="auto"/>
              <w:right w:val="single" w:sz="8" w:space="0" w:color="auto"/>
            </w:tcBorders>
            <w:vAlign w:val="center"/>
            <w:hideMark/>
          </w:tcPr>
          <w:p w14:paraId="5CDF7ABD"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r>
      <w:tr w:rsidR="00D54306" w:rsidRPr="00D54306" w14:paraId="5E93FD6E" w14:textId="77777777" w:rsidTr="00981375">
        <w:trPr>
          <w:gridAfter w:val="1"/>
          <w:wAfter w:w="13" w:type="dxa"/>
          <w:trHeight w:val="465"/>
        </w:trPr>
        <w:tc>
          <w:tcPr>
            <w:tcW w:w="951" w:type="dxa"/>
            <w:vMerge/>
            <w:tcBorders>
              <w:top w:val="nil"/>
              <w:left w:val="single" w:sz="8" w:space="0" w:color="auto"/>
              <w:bottom w:val="single" w:sz="8" w:space="0" w:color="000000"/>
              <w:right w:val="single" w:sz="8" w:space="0" w:color="auto"/>
            </w:tcBorders>
            <w:vAlign w:val="center"/>
            <w:hideMark/>
          </w:tcPr>
          <w:p w14:paraId="03B88B17"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590" w:type="dxa"/>
            <w:tcBorders>
              <w:top w:val="nil"/>
              <w:left w:val="nil"/>
              <w:bottom w:val="single" w:sz="8" w:space="0" w:color="auto"/>
              <w:right w:val="single" w:sz="8" w:space="0" w:color="auto"/>
            </w:tcBorders>
            <w:vAlign w:val="center"/>
            <w:hideMark/>
          </w:tcPr>
          <w:p w14:paraId="59BCA787" w14:textId="77777777" w:rsidR="00D54306" w:rsidRPr="00D54306" w:rsidRDefault="00D54306" w:rsidP="00D54306">
            <w:pPr>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Rashodi za tekuće održavanje</w:t>
            </w:r>
          </w:p>
        </w:tc>
        <w:tc>
          <w:tcPr>
            <w:tcW w:w="1180" w:type="dxa"/>
            <w:tcBorders>
              <w:top w:val="nil"/>
              <w:left w:val="nil"/>
              <w:bottom w:val="single" w:sz="8" w:space="0" w:color="auto"/>
              <w:right w:val="single" w:sz="8" w:space="0" w:color="auto"/>
            </w:tcBorders>
            <w:vAlign w:val="center"/>
            <w:hideMark/>
          </w:tcPr>
          <w:p w14:paraId="3573CC65"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1179" w:type="dxa"/>
            <w:tcBorders>
              <w:top w:val="nil"/>
              <w:left w:val="nil"/>
              <w:bottom w:val="single" w:sz="8" w:space="0" w:color="auto"/>
              <w:right w:val="single" w:sz="8" w:space="0" w:color="auto"/>
            </w:tcBorders>
            <w:vAlign w:val="center"/>
            <w:hideMark/>
          </w:tcPr>
          <w:p w14:paraId="36751D2D"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9.300,00</w:t>
            </w:r>
          </w:p>
        </w:tc>
        <w:tc>
          <w:tcPr>
            <w:tcW w:w="1171" w:type="dxa"/>
            <w:tcBorders>
              <w:top w:val="nil"/>
              <w:left w:val="nil"/>
              <w:bottom w:val="single" w:sz="8" w:space="0" w:color="auto"/>
              <w:right w:val="single" w:sz="8" w:space="0" w:color="auto"/>
            </w:tcBorders>
            <w:vAlign w:val="center"/>
            <w:hideMark/>
          </w:tcPr>
          <w:p w14:paraId="45ED230F"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987" w:type="dxa"/>
            <w:tcBorders>
              <w:top w:val="nil"/>
              <w:left w:val="nil"/>
              <w:bottom w:val="single" w:sz="8" w:space="0" w:color="auto"/>
              <w:right w:val="single" w:sz="8" w:space="0" w:color="auto"/>
            </w:tcBorders>
            <w:hideMark/>
          </w:tcPr>
          <w:p w14:paraId="3566DCE1"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1156" w:type="dxa"/>
            <w:tcBorders>
              <w:top w:val="nil"/>
              <w:left w:val="nil"/>
              <w:bottom w:val="single" w:sz="8" w:space="0" w:color="auto"/>
              <w:right w:val="single" w:sz="8" w:space="0" w:color="auto"/>
            </w:tcBorders>
            <w:hideMark/>
          </w:tcPr>
          <w:p w14:paraId="463462D4"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1026" w:type="dxa"/>
            <w:tcBorders>
              <w:top w:val="nil"/>
              <w:left w:val="nil"/>
              <w:bottom w:val="single" w:sz="8" w:space="0" w:color="auto"/>
              <w:right w:val="single" w:sz="8" w:space="0" w:color="auto"/>
            </w:tcBorders>
            <w:hideMark/>
          </w:tcPr>
          <w:p w14:paraId="62C0369B"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930" w:type="dxa"/>
            <w:tcBorders>
              <w:top w:val="nil"/>
              <w:left w:val="nil"/>
              <w:bottom w:val="single" w:sz="8" w:space="0" w:color="auto"/>
              <w:right w:val="single" w:sz="8" w:space="0" w:color="auto"/>
            </w:tcBorders>
            <w:hideMark/>
          </w:tcPr>
          <w:p w14:paraId="02FBBF1D"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1156" w:type="dxa"/>
            <w:tcBorders>
              <w:top w:val="nil"/>
              <w:left w:val="nil"/>
              <w:bottom w:val="single" w:sz="8" w:space="0" w:color="auto"/>
              <w:right w:val="single" w:sz="8" w:space="0" w:color="auto"/>
            </w:tcBorders>
            <w:hideMark/>
          </w:tcPr>
          <w:p w14:paraId="0EDF771B"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1156" w:type="dxa"/>
            <w:gridSpan w:val="2"/>
            <w:tcBorders>
              <w:top w:val="nil"/>
              <w:left w:val="nil"/>
              <w:bottom w:val="single" w:sz="8" w:space="0" w:color="auto"/>
              <w:right w:val="single" w:sz="8" w:space="0" w:color="auto"/>
            </w:tcBorders>
            <w:hideMark/>
          </w:tcPr>
          <w:p w14:paraId="2DE909CC"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794" w:type="dxa"/>
            <w:tcBorders>
              <w:top w:val="nil"/>
              <w:left w:val="nil"/>
              <w:bottom w:val="single" w:sz="8" w:space="0" w:color="auto"/>
              <w:right w:val="single" w:sz="8" w:space="0" w:color="auto"/>
            </w:tcBorders>
            <w:hideMark/>
          </w:tcPr>
          <w:p w14:paraId="6029B06C"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1175" w:type="dxa"/>
            <w:tcBorders>
              <w:top w:val="nil"/>
              <w:left w:val="nil"/>
              <w:bottom w:val="single" w:sz="8" w:space="0" w:color="auto"/>
              <w:right w:val="single" w:sz="8" w:space="0" w:color="auto"/>
            </w:tcBorders>
            <w:hideMark/>
          </w:tcPr>
          <w:p w14:paraId="3A620CDB"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r>
    </w:tbl>
    <w:p w14:paraId="6E6E56ED"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p>
    <w:p w14:paraId="1A09A681"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p>
    <w:p w14:paraId="7F45659F"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p>
    <w:p w14:paraId="24587EE6"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p>
    <w:p w14:paraId="7208F406"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p>
    <w:p w14:paraId="5C868C67"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p>
    <w:p w14:paraId="30C53FEF"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p>
    <w:p w14:paraId="1A32789C"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p>
    <w:p w14:paraId="1D49C8C6"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p>
    <w:p w14:paraId="32A80E13"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p>
    <w:p w14:paraId="7430C6F1"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r w:rsidRPr="00D54306">
        <w:rPr>
          <w:rFonts w:ascii="Times New Roman" w:eastAsia="Times New Roman" w:hAnsi="Times New Roman" w:cs="Times New Roman"/>
          <w:b/>
          <w:noProof w:val="0"/>
          <w:sz w:val="24"/>
          <w:szCs w:val="24"/>
          <w:lang w:eastAsia="hr-HR"/>
        </w:rPr>
        <w:lastRenderedPageBreak/>
        <w:t>Vijeća nacionalnih manjina:</w:t>
      </w:r>
    </w:p>
    <w:p w14:paraId="0E4CF5CD" w14:textId="77777777" w:rsidR="00D54306" w:rsidRPr="00D54306" w:rsidRDefault="00D54306" w:rsidP="00D54306">
      <w:pPr>
        <w:ind w:firstLine="708"/>
        <w:jc w:val="both"/>
        <w:rPr>
          <w:rFonts w:ascii="Times New Roman" w:eastAsia="Times New Roman" w:hAnsi="Times New Roman" w:cs="Times New Roman"/>
          <w:b/>
          <w:noProof w:val="0"/>
          <w:sz w:val="24"/>
          <w:szCs w:val="24"/>
          <w:lang w:eastAsia="hr-HR"/>
        </w:rPr>
      </w:pPr>
    </w:p>
    <w:tbl>
      <w:tblPr>
        <w:tblW w:w="14080" w:type="dxa"/>
        <w:tblInd w:w="-10" w:type="dxa"/>
        <w:tblLook w:val="04A0" w:firstRow="1" w:lastRow="0" w:firstColumn="1" w:lastColumn="0" w:noHBand="0" w:noVBand="1"/>
      </w:tblPr>
      <w:tblGrid>
        <w:gridCol w:w="960"/>
        <w:gridCol w:w="1600"/>
        <w:gridCol w:w="1180"/>
        <w:gridCol w:w="1180"/>
        <w:gridCol w:w="1034"/>
        <w:gridCol w:w="936"/>
        <w:gridCol w:w="1048"/>
        <w:gridCol w:w="993"/>
        <w:gridCol w:w="992"/>
        <w:gridCol w:w="936"/>
        <w:gridCol w:w="1048"/>
        <w:gridCol w:w="993"/>
        <w:gridCol w:w="1180"/>
      </w:tblGrid>
      <w:tr w:rsidR="00D54306" w:rsidRPr="00D54306" w14:paraId="174F57E3" w14:textId="77777777" w:rsidTr="00981375">
        <w:trPr>
          <w:trHeight w:val="495"/>
        </w:trPr>
        <w:tc>
          <w:tcPr>
            <w:tcW w:w="960" w:type="dxa"/>
            <w:tcBorders>
              <w:top w:val="single" w:sz="8" w:space="0" w:color="auto"/>
              <w:left w:val="single" w:sz="8" w:space="0" w:color="auto"/>
              <w:bottom w:val="single" w:sz="8" w:space="0" w:color="auto"/>
              <w:right w:val="single" w:sz="8" w:space="0" w:color="auto"/>
            </w:tcBorders>
            <w:shd w:val="clear" w:color="000000" w:fill="9CC2E5"/>
            <w:vAlign w:val="center"/>
            <w:hideMark/>
          </w:tcPr>
          <w:p w14:paraId="397E82D4"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RKP</w:t>
            </w:r>
          </w:p>
        </w:tc>
        <w:tc>
          <w:tcPr>
            <w:tcW w:w="1600" w:type="dxa"/>
            <w:tcBorders>
              <w:top w:val="single" w:sz="8" w:space="0" w:color="auto"/>
              <w:left w:val="nil"/>
              <w:bottom w:val="single" w:sz="8" w:space="0" w:color="auto"/>
              <w:right w:val="single" w:sz="8" w:space="0" w:color="auto"/>
            </w:tcBorders>
            <w:shd w:val="clear" w:color="000000" w:fill="9CC2E5"/>
            <w:vAlign w:val="center"/>
            <w:hideMark/>
          </w:tcPr>
          <w:p w14:paraId="456DD230"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Općina </w:t>
            </w:r>
            <w:proofErr w:type="spellStart"/>
            <w:r w:rsidRPr="00D54306">
              <w:rPr>
                <w:rFonts w:ascii="Times New Roman" w:eastAsia="Times New Roman" w:hAnsi="Times New Roman" w:cs="Times New Roman"/>
                <w:b/>
                <w:bCs/>
                <w:noProof w:val="0"/>
                <w:color w:val="000000"/>
                <w:sz w:val="18"/>
                <w:szCs w:val="18"/>
                <w:lang w:eastAsia="hr-HR"/>
              </w:rPr>
              <w:t>Kn.Vinogradi</w:t>
            </w:r>
            <w:proofErr w:type="spellEnd"/>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9CC2E5"/>
            <w:vAlign w:val="center"/>
            <w:hideMark/>
          </w:tcPr>
          <w:p w14:paraId="212546BE" w14:textId="77777777" w:rsidR="00D54306" w:rsidRPr="00D54306" w:rsidRDefault="00D54306" w:rsidP="00D54306">
            <w:pPr>
              <w:jc w:val="both"/>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Ostvareno u 2022.</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9CC2E5"/>
            <w:vAlign w:val="center"/>
            <w:hideMark/>
          </w:tcPr>
          <w:p w14:paraId="2E17AF8E" w14:textId="77777777" w:rsidR="00D54306" w:rsidRPr="00D54306" w:rsidRDefault="00D54306" w:rsidP="00D54306">
            <w:pPr>
              <w:jc w:val="both"/>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Planirano do kraja 2023.</w:t>
            </w:r>
          </w:p>
        </w:tc>
        <w:tc>
          <w:tcPr>
            <w:tcW w:w="3018" w:type="dxa"/>
            <w:gridSpan w:val="3"/>
            <w:tcBorders>
              <w:top w:val="single" w:sz="8" w:space="0" w:color="auto"/>
              <w:left w:val="nil"/>
              <w:bottom w:val="single" w:sz="8" w:space="0" w:color="auto"/>
              <w:right w:val="single" w:sz="8" w:space="0" w:color="000000"/>
            </w:tcBorders>
            <w:shd w:val="clear" w:color="000000" w:fill="9CC2E5"/>
            <w:vAlign w:val="center"/>
            <w:hideMark/>
          </w:tcPr>
          <w:p w14:paraId="5DB6ADD4" w14:textId="77777777" w:rsidR="00D54306" w:rsidRPr="00D54306" w:rsidRDefault="00D54306" w:rsidP="00D54306">
            <w:pPr>
              <w:jc w:val="center"/>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2024. </w:t>
            </w:r>
          </w:p>
        </w:tc>
        <w:tc>
          <w:tcPr>
            <w:tcW w:w="2921" w:type="dxa"/>
            <w:gridSpan w:val="3"/>
            <w:tcBorders>
              <w:top w:val="single" w:sz="8" w:space="0" w:color="auto"/>
              <w:left w:val="nil"/>
              <w:bottom w:val="single" w:sz="8" w:space="0" w:color="auto"/>
              <w:right w:val="single" w:sz="8" w:space="0" w:color="000000"/>
            </w:tcBorders>
            <w:shd w:val="clear" w:color="000000" w:fill="9CC2E5"/>
            <w:vAlign w:val="center"/>
            <w:hideMark/>
          </w:tcPr>
          <w:p w14:paraId="443796A6" w14:textId="77777777" w:rsidR="00D54306" w:rsidRPr="00D54306" w:rsidRDefault="00D54306" w:rsidP="00D54306">
            <w:pPr>
              <w:jc w:val="center"/>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2025. </w:t>
            </w:r>
          </w:p>
        </w:tc>
        <w:tc>
          <w:tcPr>
            <w:tcW w:w="3221" w:type="dxa"/>
            <w:gridSpan w:val="3"/>
            <w:tcBorders>
              <w:top w:val="single" w:sz="8" w:space="0" w:color="auto"/>
              <w:left w:val="nil"/>
              <w:bottom w:val="single" w:sz="8" w:space="0" w:color="auto"/>
              <w:right w:val="single" w:sz="8" w:space="0" w:color="000000"/>
            </w:tcBorders>
            <w:shd w:val="clear" w:color="000000" w:fill="9CC2E5"/>
            <w:vAlign w:val="center"/>
            <w:hideMark/>
          </w:tcPr>
          <w:p w14:paraId="239B4914" w14:textId="77777777" w:rsidR="00D54306" w:rsidRPr="00D54306" w:rsidRDefault="00D54306" w:rsidP="00D54306">
            <w:pPr>
              <w:jc w:val="center"/>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2026. </w:t>
            </w:r>
          </w:p>
        </w:tc>
      </w:tr>
      <w:tr w:rsidR="00D54306" w:rsidRPr="00D54306" w14:paraId="53B02EF3" w14:textId="77777777" w:rsidTr="00981375">
        <w:trPr>
          <w:trHeight w:val="645"/>
        </w:trPr>
        <w:tc>
          <w:tcPr>
            <w:tcW w:w="960"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59EB6E37" w14:textId="77777777" w:rsidR="00D54306" w:rsidRPr="00D54306" w:rsidRDefault="00D54306" w:rsidP="00D54306">
            <w:pPr>
              <w:jc w:val="center"/>
              <w:rPr>
                <w:rFonts w:ascii="Times New Roman" w:eastAsia="Times New Roman" w:hAnsi="Times New Roman" w:cs="Times New Roman"/>
                <w:noProof w:val="0"/>
                <w:color w:val="000000"/>
                <w:sz w:val="18"/>
                <w:szCs w:val="18"/>
                <w:lang w:eastAsia="hr-HR"/>
              </w:rPr>
            </w:pPr>
            <w:r w:rsidRPr="00D54306">
              <w:rPr>
                <w:rFonts w:ascii="Times New Roman" w:eastAsia="Times New Roman" w:hAnsi="Times New Roman" w:cs="Times New Roman"/>
                <w:noProof w:val="0"/>
                <w:color w:val="000000"/>
                <w:sz w:val="18"/>
                <w:szCs w:val="18"/>
                <w:lang w:eastAsia="hr-HR"/>
              </w:rPr>
              <w:t> </w:t>
            </w:r>
          </w:p>
        </w:tc>
        <w:tc>
          <w:tcPr>
            <w:tcW w:w="1600" w:type="dxa"/>
            <w:tcBorders>
              <w:top w:val="nil"/>
              <w:left w:val="nil"/>
              <w:bottom w:val="nil"/>
              <w:right w:val="single" w:sz="8" w:space="0" w:color="auto"/>
            </w:tcBorders>
            <w:shd w:val="clear" w:color="000000" w:fill="F8CBAD"/>
            <w:vAlign w:val="center"/>
            <w:hideMark/>
          </w:tcPr>
          <w:p w14:paraId="37F00A26"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Vijeće mađarske nacionalne manjine</w:t>
            </w: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0EC2294D"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49B72C1D"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p>
        </w:tc>
        <w:tc>
          <w:tcPr>
            <w:tcW w:w="1034" w:type="dxa"/>
            <w:tcBorders>
              <w:top w:val="nil"/>
              <w:left w:val="nil"/>
              <w:bottom w:val="single" w:sz="8" w:space="0" w:color="auto"/>
              <w:right w:val="single" w:sz="8" w:space="0" w:color="auto"/>
            </w:tcBorders>
            <w:shd w:val="clear" w:color="000000" w:fill="9CC2E5"/>
            <w:vAlign w:val="center"/>
            <w:hideMark/>
          </w:tcPr>
          <w:p w14:paraId="132436C5"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1.limit</w:t>
            </w:r>
          </w:p>
        </w:tc>
        <w:tc>
          <w:tcPr>
            <w:tcW w:w="936" w:type="dxa"/>
            <w:tcBorders>
              <w:top w:val="nil"/>
              <w:left w:val="nil"/>
              <w:bottom w:val="single" w:sz="8" w:space="0" w:color="auto"/>
              <w:right w:val="single" w:sz="8" w:space="0" w:color="auto"/>
            </w:tcBorders>
            <w:shd w:val="clear" w:color="000000" w:fill="9CC2E5"/>
            <w:vAlign w:val="center"/>
            <w:hideMark/>
          </w:tcPr>
          <w:p w14:paraId="6F55DC0F"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2.limit</w:t>
            </w:r>
          </w:p>
        </w:tc>
        <w:tc>
          <w:tcPr>
            <w:tcW w:w="1048" w:type="dxa"/>
            <w:tcBorders>
              <w:top w:val="nil"/>
              <w:left w:val="nil"/>
              <w:bottom w:val="single" w:sz="8" w:space="0" w:color="auto"/>
              <w:right w:val="single" w:sz="8" w:space="0" w:color="auto"/>
            </w:tcBorders>
            <w:shd w:val="clear" w:color="000000" w:fill="9CC2E5"/>
            <w:vAlign w:val="center"/>
            <w:hideMark/>
          </w:tcPr>
          <w:p w14:paraId="4BE82A01"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Plan 2024</w:t>
            </w:r>
          </w:p>
        </w:tc>
        <w:tc>
          <w:tcPr>
            <w:tcW w:w="993" w:type="dxa"/>
            <w:tcBorders>
              <w:top w:val="nil"/>
              <w:left w:val="nil"/>
              <w:bottom w:val="single" w:sz="8" w:space="0" w:color="auto"/>
              <w:right w:val="single" w:sz="8" w:space="0" w:color="auto"/>
            </w:tcBorders>
            <w:shd w:val="clear" w:color="000000" w:fill="9CC2E5"/>
            <w:vAlign w:val="center"/>
            <w:hideMark/>
          </w:tcPr>
          <w:p w14:paraId="24A03A43"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1.limit</w:t>
            </w:r>
          </w:p>
        </w:tc>
        <w:tc>
          <w:tcPr>
            <w:tcW w:w="992" w:type="dxa"/>
            <w:tcBorders>
              <w:top w:val="nil"/>
              <w:left w:val="nil"/>
              <w:bottom w:val="single" w:sz="8" w:space="0" w:color="auto"/>
              <w:right w:val="single" w:sz="8" w:space="0" w:color="auto"/>
            </w:tcBorders>
            <w:shd w:val="clear" w:color="000000" w:fill="9CC2E5"/>
            <w:vAlign w:val="center"/>
            <w:hideMark/>
          </w:tcPr>
          <w:p w14:paraId="31E7E446"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2.limit</w:t>
            </w:r>
          </w:p>
        </w:tc>
        <w:tc>
          <w:tcPr>
            <w:tcW w:w="936" w:type="dxa"/>
            <w:tcBorders>
              <w:top w:val="nil"/>
              <w:left w:val="nil"/>
              <w:bottom w:val="single" w:sz="8" w:space="0" w:color="auto"/>
              <w:right w:val="single" w:sz="8" w:space="0" w:color="auto"/>
            </w:tcBorders>
            <w:shd w:val="clear" w:color="000000" w:fill="9CC2E5"/>
            <w:vAlign w:val="center"/>
            <w:hideMark/>
          </w:tcPr>
          <w:p w14:paraId="282D134B"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Plan 2025</w:t>
            </w:r>
          </w:p>
        </w:tc>
        <w:tc>
          <w:tcPr>
            <w:tcW w:w="1048" w:type="dxa"/>
            <w:tcBorders>
              <w:top w:val="nil"/>
              <w:left w:val="nil"/>
              <w:bottom w:val="single" w:sz="8" w:space="0" w:color="auto"/>
              <w:right w:val="single" w:sz="8" w:space="0" w:color="auto"/>
            </w:tcBorders>
            <w:shd w:val="clear" w:color="000000" w:fill="9CC2E5"/>
            <w:vAlign w:val="center"/>
            <w:hideMark/>
          </w:tcPr>
          <w:p w14:paraId="6449F11F"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1.limit</w:t>
            </w:r>
          </w:p>
        </w:tc>
        <w:tc>
          <w:tcPr>
            <w:tcW w:w="993" w:type="dxa"/>
            <w:tcBorders>
              <w:top w:val="nil"/>
              <w:left w:val="nil"/>
              <w:bottom w:val="single" w:sz="8" w:space="0" w:color="auto"/>
              <w:right w:val="single" w:sz="8" w:space="0" w:color="auto"/>
            </w:tcBorders>
            <w:shd w:val="clear" w:color="000000" w:fill="9CC2E5"/>
            <w:vAlign w:val="center"/>
            <w:hideMark/>
          </w:tcPr>
          <w:p w14:paraId="03B41A0B"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2.limit</w:t>
            </w:r>
          </w:p>
        </w:tc>
        <w:tc>
          <w:tcPr>
            <w:tcW w:w="1180" w:type="dxa"/>
            <w:tcBorders>
              <w:top w:val="nil"/>
              <w:left w:val="nil"/>
              <w:bottom w:val="single" w:sz="8" w:space="0" w:color="auto"/>
              <w:right w:val="single" w:sz="8" w:space="0" w:color="auto"/>
            </w:tcBorders>
            <w:shd w:val="clear" w:color="000000" w:fill="9CC2E5"/>
            <w:vAlign w:val="center"/>
            <w:hideMark/>
          </w:tcPr>
          <w:p w14:paraId="2F57BB10"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Plan 2026</w:t>
            </w:r>
          </w:p>
        </w:tc>
      </w:tr>
      <w:tr w:rsidR="00D54306" w:rsidRPr="00D54306" w14:paraId="006F9FEE" w14:textId="77777777" w:rsidTr="00981375">
        <w:trPr>
          <w:trHeight w:val="525"/>
        </w:trPr>
        <w:tc>
          <w:tcPr>
            <w:tcW w:w="960" w:type="dxa"/>
            <w:vMerge/>
            <w:tcBorders>
              <w:top w:val="nil"/>
              <w:left w:val="single" w:sz="8" w:space="0" w:color="auto"/>
              <w:bottom w:val="single" w:sz="8" w:space="0" w:color="000000"/>
              <w:right w:val="single" w:sz="8" w:space="0" w:color="auto"/>
            </w:tcBorders>
            <w:vAlign w:val="center"/>
            <w:hideMark/>
          </w:tcPr>
          <w:p w14:paraId="29060DD3"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vMerge w:val="restart"/>
            <w:tcBorders>
              <w:top w:val="single" w:sz="8" w:space="0" w:color="auto"/>
              <w:left w:val="single" w:sz="8" w:space="0" w:color="auto"/>
              <w:bottom w:val="single" w:sz="8" w:space="0" w:color="000000"/>
              <w:right w:val="single" w:sz="8" w:space="0" w:color="auto"/>
            </w:tcBorders>
            <w:shd w:val="clear" w:color="000000" w:fill="BDD6EE"/>
            <w:vAlign w:val="center"/>
            <w:hideMark/>
          </w:tcPr>
          <w:p w14:paraId="684D208E"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Program: 0010201 Redovno funkcioniranje općinskih tijela</w:t>
            </w:r>
          </w:p>
        </w:tc>
        <w:tc>
          <w:tcPr>
            <w:tcW w:w="1180"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71E6DDAC"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2.645,00</w:t>
            </w:r>
          </w:p>
        </w:tc>
        <w:tc>
          <w:tcPr>
            <w:tcW w:w="1180"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40D2F384"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2.600,00</w:t>
            </w:r>
          </w:p>
        </w:tc>
        <w:tc>
          <w:tcPr>
            <w:tcW w:w="1034"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77D4D54F"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2.600,00</w:t>
            </w:r>
          </w:p>
        </w:tc>
        <w:tc>
          <w:tcPr>
            <w:tcW w:w="936"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3B08270B"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048"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42CEA7D7"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2.600,00</w:t>
            </w:r>
          </w:p>
        </w:tc>
        <w:tc>
          <w:tcPr>
            <w:tcW w:w="993"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0D09AA97"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2.600,00</w:t>
            </w:r>
          </w:p>
        </w:tc>
        <w:tc>
          <w:tcPr>
            <w:tcW w:w="992"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46E22145"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936"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6C2339AB"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2.600,00</w:t>
            </w:r>
          </w:p>
        </w:tc>
        <w:tc>
          <w:tcPr>
            <w:tcW w:w="1048"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1E683AA7"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2.600,00</w:t>
            </w:r>
          </w:p>
        </w:tc>
        <w:tc>
          <w:tcPr>
            <w:tcW w:w="993"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1F9ED0F1"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180"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2AC270D7"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2.600,00</w:t>
            </w:r>
          </w:p>
        </w:tc>
      </w:tr>
      <w:tr w:rsidR="00D54306" w:rsidRPr="00D54306" w14:paraId="7357E19F" w14:textId="77777777" w:rsidTr="0098137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55572D4D"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vMerge/>
            <w:tcBorders>
              <w:top w:val="single" w:sz="8" w:space="0" w:color="auto"/>
              <w:left w:val="single" w:sz="8" w:space="0" w:color="auto"/>
              <w:bottom w:val="single" w:sz="8" w:space="0" w:color="000000"/>
              <w:right w:val="single" w:sz="8" w:space="0" w:color="auto"/>
            </w:tcBorders>
            <w:vAlign w:val="center"/>
            <w:hideMark/>
          </w:tcPr>
          <w:p w14:paraId="0C71B386"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p>
        </w:tc>
        <w:tc>
          <w:tcPr>
            <w:tcW w:w="1180" w:type="dxa"/>
            <w:vMerge/>
            <w:tcBorders>
              <w:top w:val="nil"/>
              <w:left w:val="single" w:sz="8" w:space="0" w:color="auto"/>
              <w:bottom w:val="single" w:sz="8" w:space="0" w:color="000000"/>
              <w:right w:val="single" w:sz="8" w:space="0" w:color="auto"/>
            </w:tcBorders>
            <w:vAlign w:val="center"/>
            <w:hideMark/>
          </w:tcPr>
          <w:p w14:paraId="0100E4BD"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180" w:type="dxa"/>
            <w:vMerge/>
            <w:tcBorders>
              <w:top w:val="nil"/>
              <w:left w:val="single" w:sz="8" w:space="0" w:color="auto"/>
              <w:bottom w:val="single" w:sz="8" w:space="0" w:color="000000"/>
              <w:right w:val="single" w:sz="8" w:space="0" w:color="auto"/>
            </w:tcBorders>
            <w:vAlign w:val="center"/>
            <w:hideMark/>
          </w:tcPr>
          <w:p w14:paraId="1A53DDF6"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034" w:type="dxa"/>
            <w:vMerge/>
            <w:tcBorders>
              <w:top w:val="nil"/>
              <w:left w:val="single" w:sz="8" w:space="0" w:color="auto"/>
              <w:bottom w:val="single" w:sz="8" w:space="0" w:color="000000"/>
              <w:right w:val="single" w:sz="8" w:space="0" w:color="auto"/>
            </w:tcBorders>
            <w:vAlign w:val="center"/>
            <w:hideMark/>
          </w:tcPr>
          <w:p w14:paraId="1E76DBCB"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936" w:type="dxa"/>
            <w:vMerge/>
            <w:tcBorders>
              <w:top w:val="nil"/>
              <w:left w:val="single" w:sz="8" w:space="0" w:color="auto"/>
              <w:bottom w:val="single" w:sz="8" w:space="0" w:color="000000"/>
              <w:right w:val="single" w:sz="8" w:space="0" w:color="auto"/>
            </w:tcBorders>
            <w:vAlign w:val="center"/>
            <w:hideMark/>
          </w:tcPr>
          <w:p w14:paraId="50DACD47"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048" w:type="dxa"/>
            <w:vMerge/>
            <w:tcBorders>
              <w:top w:val="nil"/>
              <w:left w:val="single" w:sz="8" w:space="0" w:color="auto"/>
              <w:bottom w:val="single" w:sz="8" w:space="0" w:color="000000"/>
              <w:right w:val="single" w:sz="8" w:space="0" w:color="auto"/>
            </w:tcBorders>
            <w:vAlign w:val="center"/>
            <w:hideMark/>
          </w:tcPr>
          <w:p w14:paraId="75020CC5"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993" w:type="dxa"/>
            <w:vMerge/>
            <w:tcBorders>
              <w:top w:val="nil"/>
              <w:left w:val="single" w:sz="8" w:space="0" w:color="auto"/>
              <w:bottom w:val="single" w:sz="8" w:space="0" w:color="000000"/>
              <w:right w:val="single" w:sz="8" w:space="0" w:color="auto"/>
            </w:tcBorders>
            <w:vAlign w:val="center"/>
            <w:hideMark/>
          </w:tcPr>
          <w:p w14:paraId="6AB0E058"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992" w:type="dxa"/>
            <w:vMerge/>
            <w:tcBorders>
              <w:top w:val="nil"/>
              <w:left w:val="single" w:sz="8" w:space="0" w:color="auto"/>
              <w:bottom w:val="single" w:sz="8" w:space="0" w:color="000000"/>
              <w:right w:val="single" w:sz="8" w:space="0" w:color="auto"/>
            </w:tcBorders>
            <w:vAlign w:val="center"/>
            <w:hideMark/>
          </w:tcPr>
          <w:p w14:paraId="1E9B76B3"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936" w:type="dxa"/>
            <w:vMerge/>
            <w:tcBorders>
              <w:top w:val="nil"/>
              <w:left w:val="single" w:sz="8" w:space="0" w:color="auto"/>
              <w:bottom w:val="single" w:sz="8" w:space="0" w:color="000000"/>
              <w:right w:val="single" w:sz="8" w:space="0" w:color="auto"/>
            </w:tcBorders>
            <w:vAlign w:val="center"/>
            <w:hideMark/>
          </w:tcPr>
          <w:p w14:paraId="4D2565A0"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048" w:type="dxa"/>
            <w:vMerge/>
            <w:tcBorders>
              <w:top w:val="nil"/>
              <w:left w:val="single" w:sz="8" w:space="0" w:color="auto"/>
              <w:bottom w:val="single" w:sz="8" w:space="0" w:color="000000"/>
              <w:right w:val="single" w:sz="8" w:space="0" w:color="auto"/>
            </w:tcBorders>
            <w:vAlign w:val="center"/>
            <w:hideMark/>
          </w:tcPr>
          <w:p w14:paraId="2EB89899"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993" w:type="dxa"/>
            <w:vMerge/>
            <w:tcBorders>
              <w:top w:val="nil"/>
              <w:left w:val="single" w:sz="8" w:space="0" w:color="auto"/>
              <w:bottom w:val="single" w:sz="8" w:space="0" w:color="000000"/>
              <w:right w:val="single" w:sz="8" w:space="0" w:color="auto"/>
            </w:tcBorders>
            <w:vAlign w:val="center"/>
            <w:hideMark/>
          </w:tcPr>
          <w:p w14:paraId="7AC2E784"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180" w:type="dxa"/>
            <w:vMerge/>
            <w:tcBorders>
              <w:top w:val="nil"/>
              <w:left w:val="single" w:sz="8" w:space="0" w:color="auto"/>
              <w:bottom w:val="single" w:sz="8" w:space="0" w:color="000000"/>
              <w:right w:val="single" w:sz="8" w:space="0" w:color="auto"/>
            </w:tcBorders>
            <w:vAlign w:val="center"/>
            <w:hideMark/>
          </w:tcPr>
          <w:p w14:paraId="2238AD2A"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r>
      <w:tr w:rsidR="00D54306" w:rsidRPr="00D54306" w14:paraId="638625A8" w14:textId="77777777" w:rsidTr="00D54306">
        <w:trPr>
          <w:trHeight w:val="315"/>
        </w:trPr>
        <w:tc>
          <w:tcPr>
            <w:tcW w:w="960" w:type="dxa"/>
            <w:vMerge/>
            <w:tcBorders>
              <w:top w:val="nil"/>
              <w:left w:val="single" w:sz="8" w:space="0" w:color="auto"/>
              <w:bottom w:val="single" w:sz="8" w:space="0" w:color="000000"/>
              <w:right w:val="single" w:sz="8" w:space="0" w:color="auto"/>
            </w:tcBorders>
            <w:vAlign w:val="center"/>
          </w:tcPr>
          <w:p w14:paraId="0D7787E7"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tcBorders>
              <w:top w:val="single" w:sz="8" w:space="0" w:color="auto"/>
              <w:left w:val="single" w:sz="8" w:space="0" w:color="auto"/>
              <w:bottom w:val="single" w:sz="8" w:space="0" w:color="000000"/>
              <w:right w:val="single" w:sz="8" w:space="0" w:color="auto"/>
            </w:tcBorders>
            <w:shd w:val="clear" w:color="auto" w:fill="DEEAF6"/>
            <w:vAlign w:val="center"/>
          </w:tcPr>
          <w:p w14:paraId="3DA55533"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Izvor: 1.1. Opći prihodi</w:t>
            </w:r>
          </w:p>
        </w:tc>
        <w:tc>
          <w:tcPr>
            <w:tcW w:w="1180" w:type="dxa"/>
            <w:tcBorders>
              <w:top w:val="nil"/>
              <w:left w:val="single" w:sz="8" w:space="0" w:color="auto"/>
              <w:bottom w:val="single" w:sz="8" w:space="0" w:color="000000"/>
              <w:right w:val="single" w:sz="8" w:space="0" w:color="auto"/>
            </w:tcBorders>
            <w:shd w:val="clear" w:color="auto" w:fill="DEEAF6"/>
            <w:vAlign w:val="center"/>
          </w:tcPr>
          <w:p w14:paraId="0AC26CC8"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2.645,00</w:t>
            </w:r>
          </w:p>
        </w:tc>
        <w:tc>
          <w:tcPr>
            <w:tcW w:w="1180" w:type="dxa"/>
            <w:tcBorders>
              <w:top w:val="nil"/>
              <w:left w:val="single" w:sz="8" w:space="0" w:color="auto"/>
              <w:bottom w:val="single" w:sz="8" w:space="0" w:color="000000"/>
              <w:right w:val="single" w:sz="8" w:space="0" w:color="auto"/>
            </w:tcBorders>
            <w:shd w:val="clear" w:color="auto" w:fill="DEEAF6"/>
            <w:vAlign w:val="center"/>
          </w:tcPr>
          <w:p w14:paraId="5FD3F3AB"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2.600,00</w:t>
            </w:r>
          </w:p>
        </w:tc>
        <w:tc>
          <w:tcPr>
            <w:tcW w:w="1034" w:type="dxa"/>
            <w:tcBorders>
              <w:top w:val="nil"/>
              <w:left w:val="single" w:sz="8" w:space="0" w:color="auto"/>
              <w:bottom w:val="single" w:sz="8" w:space="0" w:color="000000"/>
              <w:right w:val="single" w:sz="8" w:space="0" w:color="auto"/>
            </w:tcBorders>
            <w:shd w:val="clear" w:color="auto" w:fill="DEEAF6"/>
            <w:vAlign w:val="center"/>
          </w:tcPr>
          <w:p w14:paraId="6137DE1B"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2.600,00</w:t>
            </w:r>
          </w:p>
        </w:tc>
        <w:tc>
          <w:tcPr>
            <w:tcW w:w="936" w:type="dxa"/>
            <w:tcBorders>
              <w:top w:val="nil"/>
              <w:left w:val="single" w:sz="8" w:space="0" w:color="auto"/>
              <w:bottom w:val="single" w:sz="8" w:space="0" w:color="000000"/>
              <w:right w:val="single" w:sz="8" w:space="0" w:color="auto"/>
            </w:tcBorders>
            <w:shd w:val="clear" w:color="auto" w:fill="DEEAF6"/>
            <w:vAlign w:val="center"/>
          </w:tcPr>
          <w:p w14:paraId="37509CBB"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048" w:type="dxa"/>
            <w:tcBorders>
              <w:top w:val="nil"/>
              <w:left w:val="single" w:sz="8" w:space="0" w:color="auto"/>
              <w:bottom w:val="single" w:sz="8" w:space="0" w:color="000000"/>
              <w:right w:val="single" w:sz="8" w:space="0" w:color="auto"/>
            </w:tcBorders>
            <w:shd w:val="clear" w:color="auto" w:fill="DEEAF6"/>
            <w:vAlign w:val="center"/>
          </w:tcPr>
          <w:p w14:paraId="2A99937E"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c>
          <w:tcPr>
            <w:tcW w:w="993" w:type="dxa"/>
            <w:tcBorders>
              <w:top w:val="nil"/>
              <w:left w:val="single" w:sz="8" w:space="0" w:color="auto"/>
              <w:bottom w:val="single" w:sz="8" w:space="0" w:color="000000"/>
              <w:right w:val="single" w:sz="8" w:space="0" w:color="auto"/>
            </w:tcBorders>
            <w:shd w:val="clear" w:color="auto" w:fill="DEEAF6"/>
            <w:vAlign w:val="center"/>
          </w:tcPr>
          <w:p w14:paraId="60BC0F47"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2.600,00</w:t>
            </w:r>
          </w:p>
        </w:tc>
        <w:tc>
          <w:tcPr>
            <w:tcW w:w="992" w:type="dxa"/>
            <w:tcBorders>
              <w:top w:val="nil"/>
              <w:left w:val="single" w:sz="8" w:space="0" w:color="auto"/>
              <w:bottom w:val="single" w:sz="8" w:space="0" w:color="000000"/>
              <w:right w:val="single" w:sz="8" w:space="0" w:color="auto"/>
            </w:tcBorders>
            <w:shd w:val="clear" w:color="auto" w:fill="DEEAF6"/>
            <w:vAlign w:val="center"/>
          </w:tcPr>
          <w:p w14:paraId="29A31413"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936" w:type="dxa"/>
            <w:tcBorders>
              <w:top w:val="nil"/>
              <w:left w:val="single" w:sz="8" w:space="0" w:color="auto"/>
              <w:bottom w:val="single" w:sz="8" w:space="0" w:color="000000"/>
              <w:right w:val="single" w:sz="8" w:space="0" w:color="auto"/>
            </w:tcBorders>
            <w:shd w:val="clear" w:color="auto" w:fill="DEEAF6"/>
            <w:vAlign w:val="center"/>
          </w:tcPr>
          <w:p w14:paraId="7045EB5A"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2.600,00</w:t>
            </w:r>
          </w:p>
        </w:tc>
        <w:tc>
          <w:tcPr>
            <w:tcW w:w="1048" w:type="dxa"/>
            <w:tcBorders>
              <w:top w:val="nil"/>
              <w:left w:val="single" w:sz="8" w:space="0" w:color="auto"/>
              <w:bottom w:val="single" w:sz="8" w:space="0" w:color="000000"/>
              <w:right w:val="single" w:sz="8" w:space="0" w:color="auto"/>
            </w:tcBorders>
            <w:shd w:val="clear" w:color="auto" w:fill="DEEAF6"/>
            <w:vAlign w:val="center"/>
          </w:tcPr>
          <w:p w14:paraId="4562BC5A"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2.600,00</w:t>
            </w:r>
          </w:p>
        </w:tc>
        <w:tc>
          <w:tcPr>
            <w:tcW w:w="993" w:type="dxa"/>
            <w:tcBorders>
              <w:top w:val="nil"/>
              <w:left w:val="single" w:sz="8" w:space="0" w:color="auto"/>
              <w:bottom w:val="single" w:sz="8" w:space="0" w:color="000000"/>
              <w:right w:val="single" w:sz="8" w:space="0" w:color="auto"/>
            </w:tcBorders>
            <w:shd w:val="clear" w:color="auto" w:fill="DEEAF6"/>
            <w:vAlign w:val="center"/>
          </w:tcPr>
          <w:p w14:paraId="77E0AED2"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180" w:type="dxa"/>
            <w:tcBorders>
              <w:top w:val="nil"/>
              <w:left w:val="single" w:sz="8" w:space="0" w:color="auto"/>
              <w:bottom w:val="single" w:sz="8" w:space="0" w:color="000000"/>
              <w:right w:val="single" w:sz="8" w:space="0" w:color="auto"/>
            </w:tcBorders>
            <w:shd w:val="clear" w:color="auto" w:fill="DEEAF6"/>
            <w:vAlign w:val="center"/>
          </w:tcPr>
          <w:p w14:paraId="019F9E3C"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2.600,00</w:t>
            </w:r>
          </w:p>
        </w:tc>
      </w:tr>
      <w:tr w:rsidR="00D54306" w:rsidRPr="00D54306" w14:paraId="39CEAF06" w14:textId="77777777" w:rsidTr="00981375">
        <w:trPr>
          <w:trHeight w:val="1065"/>
        </w:trPr>
        <w:tc>
          <w:tcPr>
            <w:tcW w:w="960" w:type="dxa"/>
            <w:vMerge/>
            <w:tcBorders>
              <w:top w:val="nil"/>
              <w:left w:val="single" w:sz="8" w:space="0" w:color="auto"/>
              <w:bottom w:val="single" w:sz="8" w:space="0" w:color="000000"/>
              <w:right w:val="single" w:sz="8" w:space="0" w:color="auto"/>
            </w:tcBorders>
            <w:vAlign w:val="center"/>
            <w:hideMark/>
          </w:tcPr>
          <w:p w14:paraId="2C5F9146"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tcBorders>
              <w:top w:val="nil"/>
              <w:left w:val="nil"/>
              <w:bottom w:val="single" w:sz="8" w:space="0" w:color="auto"/>
              <w:right w:val="single" w:sz="8" w:space="0" w:color="auto"/>
            </w:tcBorders>
            <w:vAlign w:val="center"/>
            <w:hideMark/>
          </w:tcPr>
          <w:p w14:paraId="6954F74E"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Aktivnost: A100012 Rad vijeća mađarske nacionalne manjine</w:t>
            </w:r>
          </w:p>
        </w:tc>
        <w:tc>
          <w:tcPr>
            <w:tcW w:w="1180" w:type="dxa"/>
            <w:tcBorders>
              <w:top w:val="nil"/>
              <w:left w:val="nil"/>
              <w:bottom w:val="single" w:sz="8" w:space="0" w:color="auto"/>
              <w:right w:val="single" w:sz="8" w:space="0" w:color="auto"/>
            </w:tcBorders>
            <w:vAlign w:val="center"/>
            <w:hideMark/>
          </w:tcPr>
          <w:p w14:paraId="7BA0531C"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2.645,00</w:t>
            </w:r>
          </w:p>
        </w:tc>
        <w:tc>
          <w:tcPr>
            <w:tcW w:w="1180" w:type="dxa"/>
            <w:tcBorders>
              <w:top w:val="nil"/>
              <w:left w:val="nil"/>
              <w:bottom w:val="single" w:sz="8" w:space="0" w:color="auto"/>
              <w:right w:val="single" w:sz="8" w:space="0" w:color="auto"/>
            </w:tcBorders>
            <w:vAlign w:val="center"/>
            <w:hideMark/>
          </w:tcPr>
          <w:p w14:paraId="50A148F7"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2.600,00</w:t>
            </w:r>
          </w:p>
        </w:tc>
        <w:tc>
          <w:tcPr>
            <w:tcW w:w="1034" w:type="dxa"/>
            <w:tcBorders>
              <w:top w:val="nil"/>
              <w:left w:val="nil"/>
              <w:bottom w:val="single" w:sz="8" w:space="0" w:color="auto"/>
              <w:right w:val="single" w:sz="8" w:space="0" w:color="auto"/>
            </w:tcBorders>
            <w:vAlign w:val="center"/>
            <w:hideMark/>
          </w:tcPr>
          <w:p w14:paraId="567905DE"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c>
          <w:tcPr>
            <w:tcW w:w="936" w:type="dxa"/>
            <w:tcBorders>
              <w:top w:val="nil"/>
              <w:left w:val="nil"/>
              <w:bottom w:val="single" w:sz="8" w:space="0" w:color="auto"/>
              <w:right w:val="single" w:sz="8" w:space="0" w:color="auto"/>
            </w:tcBorders>
            <w:vAlign w:val="center"/>
            <w:hideMark/>
          </w:tcPr>
          <w:p w14:paraId="7BE30331"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048" w:type="dxa"/>
            <w:tcBorders>
              <w:top w:val="nil"/>
              <w:left w:val="nil"/>
              <w:bottom w:val="single" w:sz="8" w:space="0" w:color="auto"/>
              <w:right w:val="single" w:sz="8" w:space="0" w:color="auto"/>
            </w:tcBorders>
            <w:vAlign w:val="center"/>
            <w:hideMark/>
          </w:tcPr>
          <w:p w14:paraId="4EFE5E12"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c>
          <w:tcPr>
            <w:tcW w:w="993" w:type="dxa"/>
            <w:tcBorders>
              <w:top w:val="nil"/>
              <w:left w:val="nil"/>
              <w:bottom w:val="single" w:sz="8" w:space="0" w:color="auto"/>
              <w:right w:val="single" w:sz="8" w:space="0" w:color="auto"/>
            </w:tcBorders>
            <w:vAlign w:val="center"/>
            <w:hideMark/>
          </w:tcPr>
          <w:p w14:paraId="0F6BA857"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c>
          <w:tcPr>
            <w:tcW w:w="992" w:type="dxa"/>
            <w:tcBorders>
              <w:top w:val="nil"/>
              <w:left w:val="nil"/>
              <w:bottom w:val="single" w:sz="8" w:space="0" w:color="auto"/>
              <w:right w:val="single" w:sz="8" w:space="0" w:color="auto"/>
            </w:tcBorders>
            <w:vAlign w:val="center"/>
            <w:hideMark/>
          </w:tcPr>
          <w:p w14:paraId="3025D63E"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936" w:type="dxa"/>
            <w:tcBorders>
              <w:top w:val="nil"/>
              <w:left w:val="nil"/>
              <w:bottom w:val="single" w:sz="8" w:space="0" w:color="auto"/>
              <w:right w:val="single" w:sz="8" w:space="0" w:color="auto"/>
            </w:tcBorders>
            <w:vAlign w:val="center"/>
            <w:hideMark/>
          </w:tcPr>
          <w:p w14:paraId="3698CAB0"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c>
          <w:tcPr>
            <w:tcW w:w="1048" w:type="dxa"/>
            <w:tcBorders>
              <w:top w:val="nil"/>
              <w:left w:val="nil"/>
              <w:bottom w:val="single" w:sz="8" w:space="0" w:color="auto"/>
              <w:right w:val="single" w:sz="8" w:space="0" w:color="auto"/>
            </w:tcBorders>
            <w:vAlign w:val="center"/>
            <w:hideMark/>
          </w:tcPr>
          <w:p w14:paraId="1EA48454"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c>
          <w:tcPr>
            <w:tcW w:w="993" w:type="dxa"/>
            <w:tcBorders>
              <w:top w:val="nil"/>
              <w:left w:val="nil"/>
              <w:bottom w:val="single" w:sz="8" w:space="0" w:color="auto"/>
              <w:right w:val="single" w:sz="8" w:space="0" w:color="auto"/>
            </w:tcBorders>
            <w:vAlign w:val="center"/>
            <w:hideMark/>
          </w:tcPr>
          <w:p w14:paraId="28753B72"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180" w:type="dxa"/>
            <w:tcBorders>
              <w:top w:val="nil"/>
              <w:left w:val="nil"/>
              <w:bottom w:val="single" w:sz="8" w:space="0" w:color="auto"/>
              <w:right w:val="single" w:sz="8" w:space="0" w:color="auto"/>
            </w:tcBorders>
            <w:vAlign w:val="center"/>
            <w:hideMark/>
          </w:tcPr>
          <w:p w14:paraId="34764F58"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r>
      <w:tr w:rsidR="00D54306" w:rsidRPr="00D54306" w14:paraId="112E75A5" w14:textId="77777777" w:rsidTr="0098137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491D3AAB"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tcBorders>
              <w:top w:val="nil"/>
              <w:left w:val="nil"/>
              <w:bottom w:val="single" w:sz="8" w:space="0" w:color="auto"/>
              <w:right w:val="single" w:sz="8" w:space="0" w:color="auto"/>
            </w:tcBorders>
            <w:vAlign w:val="center"/>
            <w:hideMark/>
          </w:tcPr>
          <w:p w14:paraId="01608286" w14:textId="77777777" w:rsidR="00D54306" w:rsidRPr="00D54306" w:rsidRDefault="00D54306" w:rsidP="00D54306">
            <w:pPr>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Rashodi poslovanja</w:t>
            </w:r>
          </w:p>
        </w:tc>
        <w:tc>
          <w:tcPr>
            <w:tcW w:w="1180" w:type="dxa"/>
            <w:tcBorders>
              <w:top w:val="nil"/>
              <w:left w:val="nil"/>
              <w:bottom w:val="single" w:sz="8" w:space="0" w:color="auto"/>
              <w:right w:val="single" w:sz="8" w:space="0" w:color="auto"/>
            </w:tcBorders>
            <w:vAlign w:val="center"/>
            <w:hideMark/>
          </w:tcPr>
          <w:p w14:paraId="6E7BFE55"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2.645,00</w:t>
            </w:r>
          </w:p>
        </w:tc>
        <w:tc>
          <w:tcPr>
            <w:tcW w:w="1180" w:type="dxa"/>
            <w:tcBorders>
              <w:top w:val="nil"/>
              <w:left w:val="nil"/>
              <w:bottom w:val="single" w:sz="8" w:space="0" w:color="auto"/>
              <w:right w:val="single" w:sz="8" w:space="0" w:color="auto"/>
            </w:tcBorders>
            <w:vAlign w:val="center"/>
            <w:hideMark/>
          </w:tcPr>
          <w:p w14:paraId="25D8F0CD"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2.600,00</w:t>
            </w:r>
          </w:p>
        </w:tc>
        <w:tc>
          <w:tcPr>
            <w:tcW w:w="1034" w:type="dxa"/>
            <w:tcBorders>
              <w:top w:val="nil"/>
              <w:left w:val="nil"/>
              <w:bottom w:val="single" w:sz="8" w:space="0" w:color="auto"/>
              <w:right w:val="single" w:sz="8" w:space="0" w:color="auto"/>
            </w:tcBorders>
            <w:vAlign w:val="center"/>
            <w:hideMark/>
          </w:tcPr>
          <w:p w14:paraId="0E9AB979"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2.600,00</w:t>
            </w:r>
          </w:p>
        </w:tc>
        <w:tc>
          <w:tcPr>
            <w:tcW w:w="936" w:type="dxa"/>
            <w:tcBorders>
              <w:top w:val="nil"/>
              <w:left w:val="nil"/>
              <w:bottom w:val="single" w:sz="8" w:space="0" w:color="auto"/>
              <w:right w:val="single" w:sz="8" w:space="0" w:color="auto"/>
            </w:tcBorders>
            <w:vAlign w:val="center"/>
            <w:hideMark/>
          </w:tcPr>
          <w:p w14:paraId="60CA17FE"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1048" w:type="dxa"/>
            <w:tcBorders>
              <w:top w:val="nil"/>
              <w:left w:val="nil"/>
              <w:bottom w:val="single" w:sz="8" w:space="0" w:color="auto"/>
              <w:right w:val="single" w:sz="8" w:space="0" w:color="auto"/>
            </w:tcBorders>
            <w:vAlign w:val="center"/>
            <w:hideMark/>
          </w:tcPr>
          <w:p w14:paraId="44075E97"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2.600,00</w:t>
            </w:r>
          </w:p>
        </w:tc>
        <w:tc>
          <w:tcPr>
            <w:tcW w:w="993" w:type="dxa"/>
            <w:tcBorders>
              <w:top w:val="nil"/>
              <w:left w:val="nil"/>
              <w:bottom w:val="single" w:sz="8" w:space="0" w:color="auto"/>
              <w:right w:val="single" w:sz="8" w:space="0" w:color="auto"/>
            </w:tcBorders>
            <w:vAlign w:val="center"/>
            <w:hideMark/>
          </w:tcPr>
          <w:p w14:paraId="69C48F3C"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2.600,00</w:t>
            </w:r>
          </w:p>
        </w:tc>
        <w:tc>
          <w:tcPr>
            <w:tcW w:w="992" w:type="dxa"/>
            <w:tcBorders>
              <w:top w:val="nil"/>
              <w:left w:val="nil"/>
              <w:bottom w:val="single" w:sz="8" w:space="0" w:color="auto"/>
              <w:right w:val="single" w:sz="8" w:space="0" w:color="auto"/>
            </w:tcBorders>
            <w:vAlign w:val="center"/>
            <w:hideMark/>
          </w:tcPr>
          <w:p w14:paraId="34B7DC78"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936" w:type="dxa"/>
            <w:tcBorders>
              <w:top w:val="nil"/>
              <w:left w:val="nil"/>
              <w:bottom w:val="single" w:sz="8" w:space="0" w:color="auto"/>
              <w:right w:val="single" w:sz="8" w:space="0" w:color="auto"/>
            </w:tcBorders>
            <w:vAlign w:val="center"/>
            <w:hideMark/>
          </w:tcPr>
          <w:p w14:paraId="0C91C21C"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2.600,00</w:t>
            </w:r>
          </w:p>
        </w:tc>
        <w:tc>
          <w:tcPr>
            <w:tcW w:w="1048" w:type="dxa"/>
            <w:tcBorders>
              <w:top w:val="nil"/>
              <w:left w:val="nil"/>
              <w:bottom w:val="single" w:sz="8" w:space="0" w:color="auto"/>
              <w:right w:val="single" w:sz="8" w:space="0" w:color="auto"/>
            </w:tcBorders>
            <w:vAlign w:val="center"/>
            <w:hideMark/>
          </w:tcPr>
          <w:p w14:paraId="4ED06FD5"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2.600,00</w:t>
            </w:r>
          </w:p>
        </w:tc>
        <w:tc>
          <w:tcPr>
            <w:tcW w:w="993" w:type="dxa"/>
            <w:tcBorders>
              <w:top w:val="nil"/>
              <w:left w:val="nil"/>
              <w:bottom w:val="single" w:sz="8" w:space="0" w:color="auto"/>
              <w:right w:val="single" w:sz="8" w:space="0" w:color="auto"/>
            </w:tcBorders>
            <w:vAlign w:val="center"/>
            <w:hideMark/>
          </w:tcPr>
          <w:p w14:paraId="2D5F190B"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1180" w:type="dxa"/>
            <w:tcBorders>
              <w:top w:val="nil"/>
              <w:left w:val="nil"/>
              <w:bottom w:val="single" w:sz="8" w:space="0" w:color="auto"/>
              <w:right w:val="single" w:sz="8" w:space="0" w:color="auto"/>
            </w:tcBorders>
            <w:vAlign w:val="center"/>
            <w:hideMark/>
          </w:tcPr>
          <w:p w14:paraId="34508C98"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2.600,00</w:t>
            </w:r>
          </w:p>
        </w:tc>
      </w:tr>
      <w:tr w:rsidR="00D54306" w:rsidRPr="00D54306" w14:paraId="551634F2" w14:textId="77777777" w:rsidTr="0098137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3E63E6ED"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vMerge w:val="restart"/>
            <w:tcBorders>
              <w:top w:val="nil"/>
              <w:left w:val="single" w:sz="8" w:space="0" w:color="auto"/>
              <w:bottom w:val="single" w:sz="8" w:space="0" w:color="000000"/>
              <w:right w:val="single" w:sz="8" w:space="0" w:color="auto"/>
            </w:tcBorders>
            <w:shd w:val="clear" w:color="000000" w:fill="F8CBAD"/>
            <w:vAlign w:val="center"/>
            <w:hideMark/>
          </w:tcPr>
          <w:p w14:paraId="199EDD7A"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Vijeće srpske nacionalne manjine</w:t>
            </w:r>
          </w:p>
        </w:tc>
        <w:tc>
          <w:tcPr>
            <w:tcW w:w="1180" w:type="dxa"/>
            <w:vMerge w:val="restart"/>
            <w:tcBorders>
              <w:top w:val="nil"/>
              <w:left w:val="single" w:sz="8" w:space="0" w:color="auto"/>
              <w:bottom w:val="single" w:sz="8" w:space="0" w:color="000000"/>
              <w:right w:val="single" w:sz="8" w:space="0" w:color="auto"/>
            </w:tcBorders>
            <w:shd w:val="clear" w:color="000000" w:fill="9CC2E5"/>
            <w:vAlign w:val="center"/>
            <w:hideMark/>
          </w:tcPr>
          <w:p w14:paraId="7EA360D1" w14:textId="77777777" w:rsidR="00D54306" w:rsidRPr="00D54306" w:rsidRDefault="00D54306" w:rsidP="00D54306">
            <w:pPr>
              <w:jc w:val="both"/>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Ostvareno u 2022.</w:t>
            </w:r>
          </w:p>
        </w:tc>
        <w:tc>
          <w:tcPr>
            <w:tcW w:w="1180" w:type="dxa"/>
            <w:vMerge w:val="restart"/>
            <w:tcBorders>
              <w:top w:val="nil"/>
              <w:left w:val="single" w:sz="8" w:space="0" w:color="auto"/>
              <w:bottom w:val="single" w:sz="8" w:space="0" w:color="000000"/>
              <w:right w:val="single" w:sz="8" w:space="0" w:color="auto"/>
            </w:tcBorders>
            <w:shd w:val="clear" w:color="000000" w:fill="9CC2E5"/>
            <w:vAlign w:val="center"/>
            <w:hideMark/>
          </w:tcPr>
          <w:p w14:paraId="5CC62769" w14:textId="77777777" w:rsidR="00D54306" w:rsidRPr="00D54306" w:rsidRDefault="00D54306" w:rsidP="00D54306">
            <w:pPr>
              <w:jc w:val="both"/>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Planirano do kraja 2023</w:t>
            </w:r>
          </w:p>
        </w:tc>
        <w:tc>
          <w:tcPr>
            <w:tcW w:w="3018" w:type="dxa"/>
            <w:gridSpan w:val="3"/>
            <w:tcBorders>
              <w:top w:val="single" w:sz="8" w:space="0" w:color="auto"/>
              <w:left w:val="nil"/>
              <w:bottom w:val="single" w:sz="8" w:space="0" w:color="auto"/>
              <w:right w:val="single" w:sz="8" w:space="0" w:color="000000"/>
            </w:tcBorders>
            <w:shd w:val="clear" w:color="000000" w:fill="9CC2E5"/>
            <w:vAlign w:val="center"/>
            <w:hideMark/>
          </w:tcPr>
          <w:p w14:paraId="38E2E028" w14:textId="77777777" w:rsidR="00D54306" w:rsidRPr="00D54306" w:rsidRDefault="00D54306" w:rsidP="00D54306">
            <w:pPr>
              <w:jc w:val="center"/>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2024. </w:t>
            </w:r>
          </w:p>
        </w:tc>
        <w:tc>
          <w:tcPr>
            <w:tcW w:w="2921" w:type="dxa"/>
            <w:gridSpan w:val="3"/>
            <w:tcBorders>
              <w:top w:val="single" w:sz="8" w:space="0" w:color="auto"/>
              <w:left w:val="nil"/>
              <w:bottom w:val="single" w:sz="8" w:space="0" w:color="auto"/>
              <w:right w:val="single" w:sz="8" w:space="0" w:color="000000"/>
            </w:tcBorders>
            <w:shd w:val="clear" w:color="000000" w:fill="9CC2E5"/>
            <w:vAlign w:val="center"/>
            <w:hideMark/>
          </w:tcPr>
          <w:p w14:paraId="72BE1F6B" w14:textId="77777777" w:rsidR="00D54306" w:rsidRPr="00D54306" w:rsidRDefault="00D54306" w:rsidP="00D54306">
            <w:pPr>
              <w:jc w:val="center"/>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2025. </w:t>
            </w:r>
          </w:p>
        </w:tc>
        <w:tc>
          <w:tcPr>
            <w:tcW w:w="3221" w:type="dxa"/>
            <w:gridSpan w:val="3"/>
            <w:tcBorders>
              <w:top w:val="single" w:sz="8" w:space="0" w:color="auto"/>
              <w:left w:val="nil"/>
              <w:bottom w:val="single" w:sz="8" w:space="0" w:color="auto"/>
              <w:right w:val="single" w:sz="8" w:space="0" w:color="000000"/>
            </w:tcBorders>
            <w:shd w:val="clear" w:color="000000" w:fill="9CC2E5"/>
            <w:vAlign w:val="center"/>
            <w:hideMark/>
          </w:tcPr>
          <w:p w14:paraId="02C83141" w14:textId="77777777" w:rsidR="00D54306" w:rsidRPr="00D54306" w:rsidRDefault="00D54306" w:rsidP="00D54306">
            <w:pPr>
              <w:jc w:val="center"/>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2026. </w:t>
            </w:r>
          </w:p>
        </w:tc>
      </w:tr>
      <w:tr w:rsidR="00D54306" w:rsidRPr="00D54306" w14:paraId="3B175A04" w14:textId="77777777" w:rsidTr="0098137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4FFA19CF"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vMerge/>
            <w:tcBorders>
              <w:top w:val="nil"/>
              <w:left w:val="single" w:sz="8" w:space="0" w:color="auto"/>
              <w:bottom w:val="single" w:sz="8" w:space="0" w:color="000000"/>
              <w:right w:val="single" w:sz="8" w:space="0" w:color="auto"/>
            </w:tcBorders>
            <w:vAlign w:val="center"/>
            <w:hideMark/>
          </w:tcPr>
          <w:p w14:paraId="48BCE846"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p>
        </w:tc>
        <w:tc>
          <w:tcPr>
            <w:tcW w:w="1180" w:type="dxa"/>
            <w:vMerge/>
            <w:tcBorders>
              <w:top w:val="nil"/>
              <w:left w:val="single" w:sz="8" w:space="0" w:color="auto"/>
              <w:bottom w:val="single" w:sz="8" w:space="0" w:color="000000"/>
              <w:right w:val="single" w:sz="8" w:space="0" w:color="auto"/>
            </w:tcBorders>
            <w:vAlign w:val="center"/>
            <w:hideMark/>
          </w:tcPr>
          <w:p w14:paraId="1227A99D"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p>
        </w:tc>
        <w:tc>
          <w:tcPr>
            <w:tcW w:w="1180" w:type="dxa"/>
            <w:vMerge/>
            <w:tcBorders>
              <w:top w:val="nil"/>
              <w:left w:val="single" w:sz="8" w:space="0" w:color="auto"/>
              <w:bottom w:val="single" w:sz="8" w:space="0" w:color="000000"/>
              <w:right w:val="single" w:sz="8" w:space="0" w:color="auto"/>
            </w:tcBorders>
            <w:vAlign w:val="center"/>
            <w:hideMark/>
          </w:tcPr>
          <w:p w14:paraId="16A299E5"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p>
        </w:tc>
        <w:tc>
          <w:tcPr>
            <w:tcW w:w="1034" w:type="dxa"/>
            <w:tcBorders>
              <w:top w:val="nil"/>
              <w:left w:val="nil"/>
              <w:bottom w:val="single" w:sz="8" w:space="0" w:color="auto"/>
              <w:right w:val="single" w:sz="8" w:space="0" w:color="auto"/>
            </w:tcBorders>
            <w:shd w:val="clear" w:color="000000" w:fill="9CC2E5"/>
            <w:vAlign w:val="center"/>
            <w:hideMark/>
          </w:tcPr>
          <w:p w14:paraId="76F69FF5"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1.limit</w:t>
            </w:r>
          </w:p>
        </w:tc>
        <w:tc>
          <w:tcPr>
            <w:tcW w:w="936" w:type="dxa"/>
            <w:tcBorders>
              <w:top w:val="nil"/>
              <w:left w:val="nil"/>
              <w:bottom w:val="single" w:sz="8" w:space="0" w:color="auto"/>
              <w:right w:val="single" w:sz="8" w:space="0" w:color="auto"/>
            </w:tcBorders>
            <w:shd w:val="clear" w:color="000000" w:fill="9CC2E5"/>
            <w:vAlign w:val="center"/>
            <w:hideMark/>
          </w:tcPr>
          <w:p w14:paraId="6E637BED"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2.limit</w:t>
            </w:r>
          </w:p>
        </w:tc>
        <w:tc>
          <w:tcPr>
            <w:tcW w:w="1048" w:type="dxa"/>
            <w:tcBorders>
              <w:top w:val="nil"/>
              <w:left w:val="nil"/>
              <w:bottom w:val="single" w:sz="8" w:space="0" w:color="auto"/>
              <w:right w:val="single" w:sz="8" w:space="0" w:color="auto"/>
            </w:tcBorders>
            <w:shd w:val="clear" w:color="000000" w:fill="9CC2E5"/>
            <w:vAlign w:val="center"/>
            <w:hideMark/>
          </w:tcPr>
          <w:p w14:paraId="79963219"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Plan 2024</w:t>
            </w:r>
          </w:p>
        </w:tc>
        <w:tc>
          <w:tcPr>
            <w:tcW w:w="993" w:type="dxa"/>
            <w:tcBorders>
              <w:top w:val="nil"/>
              <w:left w:val="nil"/>
              <w:bottom w:val="single" w:sz="8" w:space="0" w:color="auto"/>
              <w:right w:val="single" w:sz="8" w:space="0" w:color="auto"/>
            </w:tcBorders>
            <w:shd w:val="clear" w:color="000000" w:fill="9CC2E5"/>
            <w:vAlign w:val="center"/>
            <w:hideMark/>
          </w:tcPr>
          <w:p w14:paraId="120CE4CB"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1.limit</w:t>
            </w:r>
          </w:p>
        </w:tc>
        <w:tc>
          <w:tcPr>
            <w:tcW w:w="992" w:type="dxa"/>
            <w:tcBorders>
              <w:top w:val="nil"/>
              <w:left w:val="nil"/>
              <w:bottom w:val="single" w:sz="8" w:space="0" w:color="auto"/>
              <w:right w:val="single" w:sz="8" w:space="0" w:color="auto"/>
            </w:tcBorders>
            <w:shd w:val="clear" w:color="000000" w:fill="9CC2E5"/>
            <w:vAlign w:val="center"/>
            <w:hideMark/>
          </w:tcPr>
          <w:p w14:paraId="13B1EF07"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2.limit</w:t>
            </w:r>
          </w:p>
        </w:tc>
        <w:tc>
          <w:tcPr>
            <w:tcW w:w="936" w:type="dxa"/>
            <w:tcBorders>
              <w:top w:val="nil"/>
              <w:left w:val="nil"/>
              <w:bottom w:val="single" w:sz="8" w:space="0" w:color="auto"/>
              <w:right w:val="single" w:sz="8" w:space="0" w:color="auto"/>
            </w:tcBorders>
            <w:shd w:val="clear" w:color="000000" w:fill="9CC2E5"/>
            <w:vAlign w:val="center"/>
            <w:hideMark/>
          </w:tcPr>
          <w:p w14:paraId="2C2BAA9F"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Plan 2025</w:t>
            </w:r>
          </w:p>
        </w:tc>
        <w:tc>
          <w:tcPr>
            <w:tcW w:w="1048" w:type="dxa"/>
            <w:tcBorders>
              <w:top w:val="nil"/>
              <w:left w:val="nil"/>
              <w:bottom w:val="single" w:sz="8" w:space="0" w:color="auto"/>
              <w:right w:val="single" w:sz="8" w:space="0" w:color="auto"/>
            </w:tcBorders>
            <w:shd w:val="clear" w:color="000000" w:fill="9CC2E5"/>
            <w:vAlign w:val="center"/>
            <w:hideMark/>
          </w:tcPr>
          <w:p w14:paraId="223D6FC1"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1.limit</w:t>
            </w:r>
          </w:p>
        </w:tc>
        <w:tc>
          <w:tcPr>
            <w:tcW w:w="993" w:type="dxa"/>
            <w:tcBorders>
              <w:top w:val="nil"/>
              <w:left w:val="nil"/>
              <w:bottom w:val="single" w:sz="8" w:space="0" w:color="auto"/>
              <w:right w:val="single" w:sz="8" w:space="0" w:color="auto"/>
            </w:tcBorders>
            <w:shd w:val="clear" w:color="000000" w:fill="9CC2E5"/>
            <w:vAlign w:val="center"/>
            <w:hideMark/>
          </w:tcPr>
          <w:p w14:paraId="29F4F85C"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2.limit</w:t>
            </w:r>
          </w:p>
        </w:tc>
        <w:tc>
          <w:tcPr>
            <w:tcW w:w="1180" w:type="dxa"/>
            <w:tcBorders>
              <w:top w:val="nil"/>
              <w:left w:val="nil"/>
              <w:bottom w:val="single" w:sz="8" w:space="0" w:color="auto"/>
              <w:right w:val="single" w:sz="8" w:space="0" w:color="auto"/>
            </w:tcBorders>
            <w:shd w:val="clear" w:color="000000" w:fill="9CC2E5"/>
            <w:vAlign w:val="center"/>
            <w:hideMark/>
          </w:tcPr>
          <w:p w14:paraId="35E8B292" w14:textId="77777777" w:rsidR="00D54306" w:rsidRPr="00D54306" w:rsidRDefault="00D54306" w:rsidP="00D54306">
            <w:pPr>
              <w:jc w:val="both"/>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Plan 2026</w:t>
            </w:r>
          </w:p>
        </w:tc>
      </w:tr>
      <w:tr w:rsidR="00D54306" w:rsidRPr="00D54306" w14:paraId="5EC2C7F7" w14:textId="77777777" w:rsidTr="009813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9E5102A"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33A9E464"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Program: 0010202 Redovno funkcioniranje općinskih tijela</w:t>
            </w:r>
          </w:p>
        </w:tc>
        <w:tc>
          <w:tcPr>
            <w:tcW w:w="1180"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17AB8E99"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8.783,91</w:t>
            </w:r>
          </w:p>
        </w:tc>
        <w:tc>
          <w:tcPr>
            <w:tcW w:w="1180"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2B8A34E3"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6.675,00</w:t>
            </w:r>
          </w:p>
        </w:tc>
        <w:tc>
          <w:tcPr>
            <w:tcW w:w="1034"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701BAFDE"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6.600,00</w:t>
            </w:r>
          </w:p>
        </w:tc>
        <w:tc>
          <w:tcPr>
            <w:tcW w:w="936"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7136DBD2"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048"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609BF103"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7.400,00</w:t>
            </w:r>
          </w:p>
        </w:tc>
        <w:tc>
          <w:tcPr>
            <w:tcW w:w="993"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5979E551"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2.600,00</w:t>
            </w:r>
          </w:p>
        </w:tc>
        <w:tc>
          <w:tcPr>
            <w:tcW w:w="992"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345F3D7A"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936"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44C63E1F"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2.600,00</w:t>
            </w:r>
          </w:p>
        </w:tc>
        <w:tc>
          <w:tcPr>
            <w:tcW w:w="1048"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044A0C13"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2.600,00</w:t>
            </w:r>
          </w:p>
        </w:tc>
        <w:tc>
          <w:tcPr>
            <w:tcW w:w="993"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27BDDC17"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180" w:type="dxa"/>
            <w:vMerge w:val="restart"/>
            <w:tcBorders>
              <w:top w:val="nil"/>
              <w:left w:val="single" w:sz="8" w:space="0" w:color="auto"/>
              <w:bottom w:val="single" w:sz="8" w:space="0" w:color="000000"/>
              <w:right w:val="single" w:sz="8" w:space="0" w:color="auto"/>
            </w:tcBorders>
            <w:shd w:val="clear" w:color="000000" w:fill="BDD6EE"/>
            <w:vAlign w:val="center"/>
            <w:hideMark/>
          </w:tcPr>
          <w:p w14:paraId="39B1381F"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 xml:space="preserve"> 2.600,00</w:t>
            </w:r>
          </w:p>
        </w:tc>
      </w:tr>
      <w:tr w:rsidR="00D54306" w:rsidRPr="00D54306" w14:paraId="74181A61" w14:textId="77777777" w:rsidTr="0098137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717E2C3D"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vMerge/>
            <w:tcBorders>
              <w:top w:val="nil"/>
              <w:left w:val="single" w:sz="8" w:space="0" w:color="auto"/>
              <w:bottom w:val="single" w:sz="8" w:space="0" w:color="000000"/>
              <w:right w:val="single" w:sz="8" w:space="0" w:color="auto"/>
            </w:tcBorders>
            <w:vAlign w:val="center"/>
            <w:hideMark/>
          </w:tcPr>
          <w:p w14:paraId="10741461"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p>
        </w:tc>
        <w:tc>
          <w:tcPr>
            <w:tcW w:w="1180" w:type="dxa"/>
            <w:vMerge/>
            <w:tcBorders>
              <w:top w:val="nil"/>
              <w:left w:val="single" w:sz="8" w:space="0" w:color="auto"/>
              <w:bottom w:val="single" w:sz="8" w:space="0" w:color="000000"/>
              <w:right w:val="single" w:sz="8" w:space="0" w:color="auto"/>
            </w:tcBorders>
            <w:vAlign w:val="center"/>
            <w:hideMark/>
          </w:tcPr>
          <w:p w14:paraId="503E7639"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180" w:type="dxa"/>
            <w:vMerge/>
            <w:tcBorders>
              <w:top w:val="nil"/>
              <w:left w:val="single" w:sz="8" w:space="0" w:color="auto"/>
              <w:bottom w:val="single" w:sz="8" w:space="0" w:color="000000"/>
              <w:right w:val="single" w:sz="8" w:space="0" w:color="auto"/>
            </w:tcBorders>
            <w:vAlign w:val="center"/>
            <w:hideMark/>
          </w:tcPr>
          <w:p w14:paraId="074A5043"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034" w:type="dxa"/>
            <w:vMerge/>
            <w:tcBorders>
              <w:top w:val="nil"/>
              <w:left w:val="single" w:sz="8" w:space="0" w:color="auto"/>
              <w:bottom w:val="single" w:sz="8" w:space="0" w:color="000000"/>
              <w:right w:val="single" w:sz="8" w:space="0" w:color="auto"/>
            </w:tcBorders>
            <w:vAlign w:val="center"/>
            <w:hideMark/>
          </w:tcPr>
          <w:p w14:paraId="48F5CEDD"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936" w:type="dxa"/>
            <w:vMerge/>
            <w:tcBorders>
              <w:top w:val="nil"/>
              <w:left w:val="single" w:sz="8" w:space="0" w:color="auto"/>
              <w:bottom w:val="single" w:sz="8" w:space="0" w:color="000000"/>
              <w:right w:val="single" w:sz="8" w:space="0" w:color="auto"/>
            </w:tcBorders>
            <w:vAlign w:val="center"/>
            <w:hideMark/>
          </w:tcPr>
          <w:p w14:paraId="190DDACA"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048" w:type="dxa"/>
            <w:vMerge/>
            <w:tcBorders>
              <w:top w:val="nil"/>
              <w:left w:val="single" w:sz="8" w:space="0" w:color="auto"/>
              <w:bottom w:val="single" w:sz="8" w:space="0" w:color="000000"/>
              <w:right w:val="single" w:sz="8" w:space="0" w:color="auto"/>
            </w:tcBorders>
            <w:vAlign w:val="center"/>
            <w:hideMark/>
          </w:tcPr>
          <w:p w14:paraId="438F3D71"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993" w:type="dxa"/>
            <w:vMerge/>
            <w:tcBorders>
              <w:top w:val="nil"/>
              <w:left w:val="single" w:sz="8" w:space="0" w:color="auto"/>
              <w:bottom w:val="single" w:sz="8" w:space="0" w:color="000000"/>
              <w:right w:val="single" w:sz="8" w:space="0" w:color="auto"/>
            </w:tcBorders>
            <w:vAlign w:val="center"/>
            <w:hideMark/>
          </w:tcPr>
          <w:p w14:paraId="6934EB85"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992" w:type="dxa"/>
            <w:vMerge/>
            <w:tcBorders>
              <w:top w:val="nil"/>
              <w:left w:val="single" w:sz="8" w:space="0" w:color="auto"/>
              <w:bottom w:val="single" w:sz="8" w:space="0" w:color="000000"/>
              <w:right w:val="single" w:sz="8" w:space="0" w:color="auto"/>
            </w:tcBorders>
            <w:vAlign w:val="center"/>
            <w:hideMark/>
          </w:tcPr>
          <w:p w14:paraId="2E3C347E"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936" w:type="dxa"/>
            <w:vMerge/>
            <w:tcBorders>
              <w:top w:val="nil"/>
              <w:left w:val="single" w:sz="8" w:space="0" w:color="auto"/>
              <w:bottom w:val="single" w:sz="8" w:space="0" w:color="000000"/>
              <w:right w:val="single" w:sz="8" w:space="0" w:color="auto"/>
            </w:tcBorders>
            <w:vAlign w:val="center"/>
            <w:hideMark/>
          </w:tcPr>
          <w:p w14:paraId="56B6A42F"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048" w:type="dxa"/>
            <w:vMerge/>
            <w:tcBorders>
              <w:top w:val="nil"/>
              <w:left w:val="single" w:sz="8" w:space="0" w:color="auto"/>
              <w:bottom w:val="single" w:sz="8" w:space="0" w:color="000000"/>
              <w:right w:val="single" w:sz="8" w:space="0" w:color="auto"/>
            </w:tcBorders>
            <w:vAlign w:val="center"/>
            <w:hideMark/>
          </w:tcPr>
          <w:p w14:paraId="37C573D2"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993" w:type="dxa"/>
            <w:vMerge/>
            <w:tcBorders>
              <w:top w:val="nil"/>
              <w:left w:val="single" w:sz="8" w:space="0" w:color="auto"/>
              <w:bottom w:val="single" w:sz="8" w:space="0" w:color="000000"/>
              <w:right w:val="single" w:sz="8" w:space="0" w:color="auto"/>
            </w:tcBorders>
            <w:vAlign w:val="center"/>
            <w:hideMark/>
          </w:tcPr>
          <w:p w14:paraId="2CF9037A"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c>
          <w:tcPr>
            <w:tcW w:w="1180" w:type="dxa"/>
            <w:vMerge/>
            <w:tcBorders>
              <w:top w:val="nil"/>
              <w:left w:val="single" w:sz="8" w:space="0" w:color="auto"/>
              <w:bottom w:val="single" w:sz="8" w:space="0" w:color="000000"/>
              <w:right w:val="single" w:sz="8" w:space="0" w:color="auto"/>
            </w:tcBorders>
            <w:vAlign w:val="center"/>
            <w:hideMark/>
          </w:tcPr>
          <w:p w14:paraId="68071E08" w14:textId="77777777" w:rsidR="00D54306" w:rsidRPr="00D54306" w:rsidRDefault="00D54306" w:rsidP="00D54306">
            <w:pPr>
              <w:rPr>
                <w:rFonts w:ascii="Times New Roman" w:eastAsia="Times New Roman" w:hAnsi="Times New Roman" w:cs="Times New Roman"/>
                <w:b/>
                <w:bCs/>
                <w:noProof w:val="0"/>
                <w:color w:val="000000"/>
                <w:sz w:val="18"/>
                <w:szCs w:val="18"/>
                <w:lang w:eastAsia="hr-HR"/>
              </w:rPr>
            </w:pPr>
          </w:p>
        </w:tc>
      </w:tr>
      <w:tr w:rsidR="00D54306" w:rsidRPr="00D54306" w14:paraId="10090313" w14:textId="77777777" w:rsidTr="00D54306">
        <w:trPr>
          <w:trHeight w:val="315"/>
        </w:trPr>
        <w:tc>
          <w:tcPr>
            <w:tcW w:w="960" w:type="dxa"/>
            <w:vMerge/>
            <w:tcBorders>
              <w:top w:val="nil"/>
              <w:left w:val="single" w:sz="8" w:space="0" w:color="auto"/>
              <w:bottom w:val="single" w:sz="8" w:space="0" w:color="000000"/>
              <w:right w:val="single" w:sz="8" w:space="0" w:color="auto"/>
            </w:tcBorders>
            <w:vAlign w:val="center"/>
          </w:tcPr>
          <w:p w14:paraId="5BB8F6A5"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tcBorders>
              <w:top w:val="nil"/>
              <w:left w:val="single" w:sz="8" w:space="0" w:color="auto"/>
              <w:bottom w:val="single" w:sz="8" w:space="0" w:color="000000"/>
              <w:right w:val="single" w:sz="8" w:space="0" w:color="auto"/>
            </w:tcBorders>
            <w:shd w:val="clear" w:color="auto" w:fill="DEEAF6"/>
            <w:vAlign w:val="center"/>
          </w:tcPr>
          <w:p w14:paraId="61DAF813"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Izvor: 1.1. Opći prihodi</w:t>
            </w:r>
          </w:p>
        </w:tc>
        <w:tc>
          <w:tcPr>
            <w:tcW w:w="1180" w:type="dxa"/>
            <w:tcBorders>
              <w:top w:val="nil"/>
              <w:left w:val="single" w:sz="8" w:space="0" w:color="auto"/>
              <w:bottom w:val="single" w:sz="8" w:space="0" w:color="000000"/>
              <w:right w:val="single" w:sz="8" w:space="0" w:color="auto"/>
            </w:tcBorders>
            <w:shd w:val="clear" w:color="auto" w:fill="DEEAF6"/>
            <w:vAlign w:val="center"/>
          </w:tcPr>
          <w:p w14:paraId="286BCC77"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8.783,91</w:t>
            </w:r>
          </w:p>
        </w:tc>
        <w:tc>
          <w:tcPr>
            <w:tcW w:w="1180" w:type="dxa"/>
            <w:tcBorders>
              <w:top w:val="nil"/>
              <w:left w:val="single" w:sz="8" w:space="0" w:color="auto"/>
              <w:bottom w:val="single" w:sz="8" w:space="0" w:color="000000"/>
              <w:right w:val="single" w:sz="8" w:space="0" w:color="auto"/>
            </w:tcBorders>
            <w:shd w:val="clear" w:color="auto" w:fill="DEEAF6"/>
            <w:vAlign w:val="center"/>
          </w:tcPr>
          <w:p w14:paraId="4A8FC9B8"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6.675,00</w:t>
            </w:r>
          </w:p>
        </w:tc>
        <w:tc>
          <w:tcPr>
            <w:tcW w:w="1034" w:type="dxa"/>
            <w:tcBorders>
              <w:top w:val="nil"/>
              <w:left w:val="single" w:sz="8" w:space="0" w:color="auto"/>
              <w:bottom w:val="single" w:sz="8" w:space="0" w:color="000000"/>
              <w:right w:val="single" w:sz="8" w:space="0" w:color="auto"/>
            </w:tcBorders>
            <w:shd w:val="clear" w:color="auto" w:fill="DEEAF6"/>
            <w:vAlign w:val="center"/>
          </w:tcPr>
          <w:p w14:paraId="093A858B"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6.600,00</w:t>
            </w:r>
          </w:p>
        </w:tc>
        <w:tc>
          <w:tcPr>
            <w:tcW w:w="936" w:type="dxa"/>
            <w:tcBorders>
              <w:top w:val="nil"/>
              <w:left w:val="single" w:sz="8" w:space="0" w:color="auto"/>
              <w:bottom w:val="single" w:sz="8" w:space="0" w:color="000000"/>
              <w:right w:val="single" w:sz="8" w:space="0" w:color="auto"/>
            </w:tcBorders>
            <w:shd w:val="clear" w:color="auto" w:fill="DEEAF6"/>
            <w:vAlign w:val="center"/>
          </w:tcPr>
          <w:p w14:paraId="2521D5FA"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048" w:type="dxa"/>
            <w:tcBorders>
              <w:top w:val="nil"/>
              <w:left w:val="single" w:sz="8" w:space="0" w:color="auto"/>
              <w:bottom w:val="single" w:sz="8" w:space="0" w:color="000000"/>
              <w:right w:val="single" w:sz="8" w:space="0" w:color="auto"/>
            </w:tcBorders>
            <w:shd w:val="clear" w:color="auto" w:fill="DEEAF6"/>
            <w:vAlign w:val="center"/>
          </w:tcPr>
          <w:p w14:paraId="1E1A9F4E"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7.400,00</w:t>
            </w:r>
          </w:p>
        </w:tc>
        <w:tc>
          <w:tcPr>
            <w:tcW w:w="993" w:type="dxa"/>
            <w:tcBorders>
              <w:top w:val="nil"/>
              <w:left w:val="single" w:sz="8" w:space="0" w:color="auto"/>
              <w:bottom w:val="single" w:sz="8" w:space="0" w:color="000000"/>
              <w:right w:val="single" w:sz="8" w:space="0" w:color="auto"/>
            </w:tcBorders>
            <w:shd w:val="clear" w:color="auto" w:fill="DEEAF6"/>
            <w:vAlign w:val="center"/>
          </w:tcPr>
          <w:p w14:paraId="7E5E31BF"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2.600,00</w:t>
            </w:r>
          </w:p>
        </w:tc>
        <w:tc>
          <w:tcPr>
            <w:tcW w:w="992" w:type="dxa"/>
            <w:tcBorders>
              <w:top w:val="nil"/>
              <w:left w:val="single" w:sz="8" w:space="0" w:color="auto"/>
              <w:bottom w:val="single" w:sz="8" w:space="0" w:color="000000"/>
              <w:right w:val="single" w:sz="8" w:space="0" w:color="auto"/>
            </w:tcBorders>
            <w:shd w:val="clear" w:color="auto" w:fill="DEEAF6"/>
            <w:vAlign w:val="center"/>
          </w:tcPr>
          <w:p w14:paraId="7EA77859"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936" w:type="dxa"/>
            <w:tcBorders>
              <w:top w:val="nil"/>
              <w:left w:val="single" w:sz="8" w:space="0" w:color="auto"/>
              <w:bottom w:val="single" w:sz="8" w:space="0" w:color="000000"/>
              <w:right w:val="single" w:sz="8" w:space="0" w:color="auto"/>
            </w:tcBorders>
            <w:shd w:val="clear" w:color="auto" w:fill="DEEAF6"/>
            <w:vAlign w:val="center"/>
          </w:tcPr>
          <w:p w14:paraId="79C0FA38"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2.600,00</w:t>
            </w:r>
          </w:p>
        </w:tc>
        <w:tc>
          <w:tcPr>
            <w:tcW w:w="1048" w:type="dxa"/>
            <w:tcBorders>
              <w:top w:val="nil"/>
              <w:left w:val="single" w:sz="8" w:space="0" w:color="auto"/>
              <w:bottom w:val="single" w:sz="8" w:space="0" w:color="000000"/>
              <w:right w:val="single" w:sz="8" w:space="0" w:color="auto"/>
            </w:tcBorders>
            <w:shd w:val="clear" w:color="auto" w:fill="DEEAF6"/>
            <w:vAlign w:val="center"/>
          </w:tcPr>
          <w:p w14:paraId="7B4C3B57"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2.600,00</w:t>
            </w:r>
          </w:p>
        </w:tc>
        <w:tc>
          <w:tcPr>
            <w:tcW w:w="993" w:type="dxa"/>
            <w:tcBorders>
              <w:top w:val="nil"/>
              <w:left w:val="single" w:sz="8" w:space="0" w:color="auto"/>
              <w:bottom w:val="single" w:sz="8" w:space="0" w:color="000000"/>
              <w:right w:val="single" w:sz="8" w:space="0" w:color="auto"/>
            </w:tcBorders>
            <w:shd w:val="clear" w:color="auto" w:fill="DEEAF6"/>
            <w:vAlign w:val="center"/>
          </w:tcPr>
          <w:p w14:paraId="368D6255"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180" w:type="dxa"/>
            <w:tcBorders>
              <w:top w:val="nil"/>
              <w:left w:val="single" w:sz="8" w:space="0" w:color="auto"/>
              <w:bottom w:val="single" w:sz="8" w:space="0" w:color="000000"/>
              <w:right w:val="single" w:sz="8" w:space="0" w:color="auto"/>
            </w:tcBorders>
            <w:shd w:val="clear" w:color="auto" w:fill="DEEAF6"/>
            <w:vAlign w:val="center"/>
          </w:tcPr>
          <w:p w14:paraId="690215BE"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2.600,00</w:t>
            </w:r>
          </w:p>
        </w:tc>
      </w:tr>
      <w:tr w:rsidR="00D54306" w:rsidRPr="00D54306" w14:paraId="7643B645" w14:textId="77777777" w:rsidTr="00981375">
        <w:trPr>
          <w:trHeight w:val="1065"/>
        </w:trPr>
        <w:tc>
          <w:tcPr>
            <w:tcW w:w="960" w:type="dxa"/>
            <w:vMerge/>
            <w:tcBorders>
              <w:top w:val="nil"/>
              <w:left w:val="single" w:sz="8" w:space="0" w:color="auto"/>
              <w:bottom w:val="single" w:sz="8" w:space="0" w:color="000000"/>
              <w:right w:val="single" w:sz="8" w:space="0" w:color="auto"/>
            </w:tcBorders>
            <w:vAlign w:val="center"/>
            <w:hideMark/>
          </w:tcPr>
          <w:p w14:paraId="44C7BCB4"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tcBorders>
              <w:top w:val="nil"/>
              <w:left w:val="nil"/>
              <w:bottom w:val="single" w:sz="8" w:space="0" w:color="auto"/>
              <w:right w:val="single" w:sz="8" w:space="0" w:color="auto"/>
            </w:tcBorders>
            <w:vAlign w:val="center"/>
            <w:hideMark/>
          </w:tcPr>
          <w:p w14:paraId="3D9F2633"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Aktivnost: A100013 Rad vijeća mađarske nacionalne manjine</w:t>
            </w:r>
          </w:p>
        </w:tc>
        <w:tc>
          <w:tcPr>
            <w:tcW w:w="1180" w:type="dxa"/>
            <w:tcBorders>
              <w:top w:val="nil"/>
              <w:left w:val="nil"/>
              <w:bottom w:val="single" w:sz="8" w:space="0" w:color="auto"/>
              <w:right w:val="single" w:sz="8" w:space="0" w:color="auto"/>
            </w:tcBorders>
            <w:vAlign w:val="center"/>
            <w:hideMark/>
          </w:tcPr>
          <w:p w14:paraId="1D894015"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4.488,76</w:t>
            </w:r>
          </w:p>
        </w:tc>
        <w:tc>
          <w:tcPr>
            <w:tcW w:w="1180" w:type="dxa"/>
            <w:tcBorders>
              <w:top w:val="nil"/>
              <w:left w:val="nil"/>
              <w:bottom w:val="single" w:sz="8" w:space="0" w:color="auto"/>
              <w:right w:val="single" w:sz="8" w:space="0" w:color="auto"/>
            </w:tcBorders>
            <w:vAlign w:val="center"/>
            <w:hideMark/>
          </w:tcPr>
          <w:p w14:paraId="356C1908"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2.600,00</w:t>
            </w:r>
          </w:p>
        </w:tc>
        <w:tc>
          <w:tcPr>
            <w:tcW w:w="1034" w:type="dxa"/>
            <w:tcBorders>
              <w:top w:val="nil"/>
              <w:left w:val="nil"/>
              <w:bottom w:val="single" w:sz="8" w:space="0" w:color="auto"/>
              <w:right w:val="single" w:sz="8" w:space="0" w:color="auto"/>
            </w:tcBorders>
            <w:vAlign w:val="center"/>
            <w:hideMark/>
          </w:tcPr>
          <w:p w14:paraId="0F09129D"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c>
          <w:tcPr>
            <w:tcW w:w="936" w:type="dxa"/>
            <w:tcBorders>
              <w:top w:val="nil"/>
              <w:left w:val="nil"/>
              <w:bottom w:val="single" w:sz="8" w:space="0" w:color="auto"/>
              <w:right w:val="single" w:sz="8" w:space="0" w:color="auto"/>
            </w:tcBorders>
            <w:vAlign w:val="center"/>
            <w:hideMark/>
          </w:tcPr>
          <w:p w14:paraId="6A1BC82E"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048" w:type="dxa"/>
            <w:tcBorders>
              <w:top w:val="nil"/>
              <w:left w:val="nil"/>
              <w:bottom w:val="single" w:sz="8" w:space="0" w:color="auto"/>
              <w:right w:val="single" w:sz="8" w:space="0" w:color="auto"/>
            </w:tcBorders>
            <w:vAlign w:val="center"/>
            <w:hideMark/>
          </w:tcPr>
          <w:p w14:paraId="46DB80ED"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c>
          <w:tcPr>
            <w:tcW w:w="993" w:type="dxa"/>
            <w:tcBorders>
              <w:top w:val="nil"/>
              <w:left w:val="nil"/>
              <w:bottom w:val="single" w:sz="8" w:space="0" w:color="auto"/>
              <w:right w:val="single" w:sz="8" w:space="0" w:color="auto"/>
            </w:tcBorders>
            <w:vAlign w:val="center"/>
            <w:hideMark/>
          </w:tcPr>
          <w:p w14:paraId="6DEDD35F"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c>
          <w:tcPr>
            <w:tcW w:w="992" w:type="dxa"/>
            <w:tcBorders>
              <w:top w:val="nil"/>
              <w:left w:val="nil"/>
              <w:bottom w:val="single" w:sz="8" w:space="0" w:color="auto"/>
              <w:right w:val="single" w:sz="8" w:space="0" w:color="auto"/>
            </w:tcBorders>
            <w:vAlign w:val="center"/>
            <w:hideMark/>
          </w:tcPr>
          <w:p w14:paraId="57D2C418"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936" w:type="dxa"/>
            <w:tcBorders>
              <w:top w:val="nil"/>
              <w:left w:val="nil"/>
              <w:bottom w:val="single" w:sz="8" w:space="0" w:color="auto"/>
              <w:right w:val="single" w:sz="8" w:space="0" w:color="auto"/>
            </w:tcBorders>
            <w:vAlign w:val="center"/>
            <w:hideMark/>
          </w:tcPr>
          <w:p w14:paraId="4BB9ABCD"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c>
          <w:tcPr>
            <w:tcW w:w="1048" w:type="dxa"/>
            <w:tcBorders>
              <w:top w:val="nil"/>
              <w:left w:val="nil"/>
              <w:bottom w:val="single" w:sz="8" w:space="0" w:color="auto"/>
              <w:right w:val="single" w:sz="8" w:space="0" w:color="auto"/>
            </w:tcBorders>
            <w:vAlign w:val="center"/>
            <w:hideMark/>
          </w:tcPr>
          <w:p w14:paraId="2D00C492"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c>
          <w:tcPr>
            <w:tcW w:w="993" w:type="dxa"/>
            <w:tcBorders>
              <w:top w:val="nil"/>
              <w:left w:val="nil"/>
              <w:bottom w:val="single" w:sz="8" w:space="0" w:color="auto"/>
              <w:right w:val="single" w:sz="8" w:space="0" w:color="auto"/>
            </w:tcBorders>
            <w:vAlign w:val="center"/>
            <w:hideMark/>
          </w:tcPr>
          <w:p w14:paraId="1181DA80"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180" w:type="dxa"/>
            <w:tcBorders>
              <w:top w:val="nil"/>
              <w:left w:val="nil"/>
              <w:bottom w:val="single" w:sz="8" w:space="0" w:color="auto"/>
              <w:right w:val="single" w:sz="8" w:space="0" w:color="auto"/>
            </w:tcBorders>
            <w:vAlign w:val="center"/>
            <w:hideMark/>
          </w:tcPr>
          <w:p w14:paraId="3DA82296"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2.600,00</w:t>
            </w:r>
          </w:p>
        </w:tc>
      </w:tr>
      <w:tr w:rsidR="00D54306" w:rsidRPr="00D54306" w14:paraId="317C55CA" w14:textId="77777777" w:rsidTr="0098137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EB476D8"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tcBorders>
              <w:top w:val="nil"/>
              <w:left w:val="nil"/>
              <w:bottom w:val="single" w:sz="8" w:space="0" w:color="auto"/>
              <w:right w:val="single" w:sz="8" w:space="0" w:color="auto"/>
            </w:tcBorders>
            <w:vAlign w:val="center"/>
            <w:hideMark/>
          </w:tcPr>
          <w:p w14:paraId="0C400707" w14:textId="77777777" w:rsidR="00D54306" w:rsidRPr="00D54306" w:rsidRDefault="00D54306" w:rsidP="00D54306">
            <w:pPr>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Rashodi poslovanja</w:t>
            </w:r>
          </w:p>
        </w:tc>
        <w:tc>
          <w:tcPr>
            <w:tcW w:w="1180" w:type="dxa"/>
            <w:tcBorders>
              <w:top w:val="nil"/>
              <w:left w:val="nil"/>
              <w:bottom w:val="single" w:sz="8" w:space="0" w:color="auto"/>
              <w:right w:val="single" w:sz="8" w:space="0" w:color="auto"/>
            </w:tcBorders>
            <w:vAlign w:val="center"/>
            <w:hideMark/>
          </w:tcPr>
          <w:p w14:paraId="0F5A40C2"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4.488,76</w:t>
            </w:r>
          </w:p>
        </w:tc>
        <w:tc>
          <w:tcPr>
            <w:tcW w:w="1180" w:type="dxa"/>
            <w:tcBorders>
              <w:top w:val="nil"/>
              <w:left w:val="nil"/>
              <w:bottom w:val="single" w:sz="8" w:space="0" w:color="auto"/>
              <w:right w:val="single" w:sz="8" w:space="0" w:color="auto"/>
            </w:tcBorders>
            <w:vAlign w:val="center"/>
            <w:hideMark/>
          </w:tcPr>
          <w:p w14:paraId="14730235"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2.600,00</w:t>
            </w:r>
          </w:p>
        </w:tc>
        <w:tc>
          <w:tcPr>
            <w:tcW w:w="1034" w:type="dxa"/>
            <w:tcBorders>
              <w:top w:val="nil"/>
              <w:left w:val="nil"/>
              <w:bottom w:val="single" w:sz="8" w:space="0" w:color="auto"/>
              <w:right w:val="single" w:sz="8" w:space="0" w:color="auto"/>
            </w:tcBorders>
            <w:vAlign w:val="center"/>
            <w:hideMark/>
          </w:tcPr>
          <w:p w14:paraId="1B2879C8"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2.600,00</w:t>
            </w:r>
          </w:p>
        </w:tc>
        <w:tc>
          <w:tcPr>
            <w:tcW w:w="936" w:type="dxa"/>
            <w:tcBorders>
              <w:top w:val="nil"/>
              <w:left w:val="nil"/>
              <w:bottom w:val="single" w:sz="8" w:space="0" w:color="auto"/>
              <w:right w:val="single" w:sz="8" w:space="0" w:color="auto"/>
            </w:tcBorders>
            <w:vAlign w:val="center"/>
            <w:hideMark/>
          </w:tcPr>
          <w:p w14:paraId="7AD4AEEA"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1048" w:type="dxa"/>
            <w:tcBorders>
              <w:top w:val="nil"/>
              <w:left w:val="nil"/>
              <w:bottom w:val="single" w:sz="8" w:space="0" w:color="auto"/>
              <w:right w:val="single" w:sz="8" w:space="0" w:color="auto"/>
            </w:tcBorders>
            <w:vAlign w:val="center"/>
            <w:hideMark/>
          </w:tcPr>
          <w:p w14:paraId="4C474F3A"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2.600,00</w:t>
            </w:r>
          </w:p>
        </w:tc>
        <w:tc>
          <w:tcPr>
            <w:tcW w:w="993" w:type="dxa"/>
            <w:tcBorders>
              <w:top w:val="nil"/>
              <w:left w:val="nil"/>
              <w:bottom w:val="single" w:sz="8" w:space="0" w:color="auto"/>
              <w:right w:val="single" w:sz="8" w:space="0" w:color="auto"/>
            </w:tcBorders>
            <w:vAlign w:val="center"/>
            <w:hideMark/>
          </w:tcPr>
          <w:p w14:paraId="66B74699"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2.600,00</w:t>
            </w:r>
          </w:p>
        </w:tc>
        <w:tc>
          <w:tcPr>
            <w:tcW w:w="992" w:type="dxa"/>
            <w:tcBorders>
              <w:top w:val="nil"/>
              <w:left w:val="nil"/>
              <w:bottom w:val="single" w:sz="8" w:space="0" w:color="auto"/>
              <w:right w:val="single" w:sz="8" w:space="0" w:color="auto"/>
            </w:tcBorders>
            <w:vAlign w:val="center"/>
            <w:hideMark/>
          </w:tcPr>
          <w:p w14:paraId="201C5651"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936" w:type="dxa"/>
            <w:tcBorders>
              <w:top w:val="nil"/>
              <w:left w:val="nil"/>
              <w:bottom w:val="single" w:sz="8" w:space="0" w:color="auto"/>
              <w:right w:val="single" w:sz="8" w:space="0" w:color="auto"/>
            </w:tcBorders>
            <w:vAlign w:val="center"/>
            <w:hideMark/>
          </w:tcPr>
          <w:p w14:paraId="7A282921"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2.600,00</w:t>
            </w:r>
          </w:p>
        </w:tc>
        <w:tc>
          <w:tcPr>
            <w:tcW w:w="1048" w:type="dxa"/>
            <w:tcBorders>
              <w:top w:val="nil"/>
              <w:left w:val="nil"/>
              <w:bottom w:val="single" w:sz="8" w:space="0" w:color="auto"/>
              <w:right w:val="single" w:sz="8" w:space="0" w:color="auto"/>
            </w:tcBorders>
            <w:vAlign w:val="center"/>
            <w:hideMark/>
          </w:tcPr>
          <w:p w14:paraId="71BED0AB"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2.600,00</w:t>
            </w:r>
          </w:p>
        </w:tc>
        <w:tc>
          <w:tcPr>
            <w:tcW w:w="993" w:type="dxa"/>
            <w:tcBorders>
              <w:top w:val="nil"/>
              <w:left w:val="nil"/>
              <w:bottom w:val="single" w:sz="8" w:space="0" w:color="auto"/>
              <w:right w:val="single" w:sz="8" w:space="0" w:color="auto"/>
            </w:tcBorders>
            <w:vAlign w:val="center"/>
            <w:hideMark/>
          </w:tcPr>
          <w:p w14:paraId="40582FB9"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1180" w:type="dxa"/>
            <w:tcBorders>
              <w:top w:val="nil"/>
              <w:left w:val="nil"/>
              <w:bottom w:val="single" w:sz="8" w:space="0" w:color="auto"/>
              <w:right w:val="single" w:sz="8" w:space="0" w:color="auto"/>
            </w:tcBorders>
            <w:vAlign w:val="center"/>
            <w:hideMark/>
          </w:tcPr>
          <w:p w14:paraId="122BB2F0"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2.600,00</w:t>
            </w:r>
          </w:p>
        </w:tc>
      </w:tr>
      <w:tr w:rsidR="00D54306" w:rsidRPr="00D54306" w14:paraId="398ED09F" w14:textId="77777777" w:rsidTr="00981375">
        <w:trPr>
          <w:trHeight w:val="645"/>
        </w:trPr>
        <w:tc>
          <w:tcPr>
            <w:tcW w:w="960" w:type="dxa"/>
            <w:vMerge/>
            <w:tcBorders>
              <w:top w:val="nil"/>
              <w:left w:val="single" w:sz="8" w:space="0" w:color="auto"/>
              <w:bottom w:val="single" w:sz="8" w:space="0" w:color="000000"/>
              <w:right w:val="single" w:sz="8" w:space="0" w:color="auto"/>
            </w:tcBorders>
            <w:vAlign w:val="center"/>
            <w:hideMark/>
          </w:tcPr>
          <w:p w14:paraId="09F3ED7E"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tcBorders>
              <w:top w:val="nil"/>
              <w:left w:val="nil"/>
              <w:bottom w:val="single" w:sz="8" w:space="0" w:color="auto"/>
              <w:right w:val="single" w:sz="8" w:space="0" w:color="auto"/>
            </w:tcBorders>
            <w:vAlign w:val="center"/>
            <w:hideMark/>
          </w:tcPr>
          <w:p w14:paraId="6DEABCB5" w14:textId="77777777" w:rsidR="00D54306" w:rsidRPr="00D54306" w:rsidRDefault="00D54306" w:rsidP="00D54306">
            <w:pPr>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Tekući projekt 100003 Rad knjižnice VSNM</w:t>
            </w:r>
          </w:p>
        </w:tc>
        <w:tc>
          <w:tcPr>
            <w:tcW w:w="1180" w:type="dxa"/>
            <w:tcBorders>
              <w:top w:val="nil"/>
              <w:left w:val="nil"/>
              <w:bottom w:val="single" w:sz="8" w:space="0" w:color="auto"/>
              <w:right w:val="single" w:sz="8" w:space="0" w:color="auto"/>
            </w:tcBorders>
            <w:vAlign w:val="center"/>
            <w:hideMark/>
          </w:tcPr>
          <w:p w14:paraId="615665F6"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4.295,15</w:t>
            </w:r>
          </w:p>
        </w:tc>
        <w:tc>
          <w:tcPr>
            <w:tcW w:w="1180" w:type="dxa"/>
            <w:tcBorders>
              <w:top w:val="nil"/>
              <w:left w:val="nil"/>
              <w:bottom w:val="single" w:sz="8" w:space="0" w:color="auto"/>
              <w:right w:val="single" w:sz="8" w:space="0" w:color="auto"/>
            </w:tcBorders>
            <w:vAlign w:val="center"/>
            <w:hideMark/>
          </w:tcPr>
          <w:p w14:paraId="4A927219"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4.078,00</w:t>
            </w:r>
          </w:p>
        </w:tc>
        <w:tc>
          <w:tcPr>
            <w:tcW w:w="1034" w:type="dxa"/>
            <w:tcBorders>
              <w:top w:val="nil"/>
              <w:left w:val="nil"/>
              <w:bottom w:val="single" w:sz="8" w:space="0" w:color="auto"/>
              <w:right w:val="single" w:sz="8" w:space="0" w:color="auto"/>
            </w:tcBorders>
            <w:vAlign w:val="center"/>
            <w:hideMark/>
          </w:tcPr>
          <w:p w14:paraId="6F2FF9DA"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4.800,00</w:t>
            </w:r>
          </w:p>
        </w:tc>
        <w:tc>
          <w:tcPr>
            <w:tcW w:w="936" w:type="dxa"/>
            <w:tcBorders>
              <w:top w:val="nil"/>
              <w:left w:val="nil"/>
              <w:bottom w:val="single" w:sz="8" w:space="0" w:color="auto"/>
              <w:right w:val="single" w:sz="8" w:space="0" w:color="auto"/>
            </w:tcBorders>
            <w:vAlign w:val="center"/>
            <w:hideMark/>
          </w:tcPr>
          <w:p w14:paraId="1E91190F"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048" w:type="dxa"/>
            <w:tcBorders>
              <w:top w:val="nil"/>
              <w:left w:val="nil"/>
              <w:bottom w:val="single" w:sz="8" w:space="0" w:color="auto"/>
              <w:right w:val="single" w:sz="8" w:space="0" w:color="auto"/>
            </w:tcBorders>
            <w:vAlign w:val="center"/>
            <w:hideMark/>
          </w:tcPr>
          <w:p w14:paraId="3F7B077A"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6"/>
                <w:szCs w:val="16"/>
                <w:lang w:eastAsia="hr-HR"/>
              </w:rPr>
              <w:t xml:space="preserve"> 4.800,00</w:t>
            </w:r>
          </w:p>
        </w:tc>
        <w:tc>
          <w:tcPr>
            <w:tcW w:w="993" w:type="dxa"/>
            <w:tcBorders>
              <w:top w:val="nil"/>
              <w:left w:val="nil"/>
              <w:bottom w:val="single" w:sz="8" w:space="0" w:color="auto"/>
              <w:right w:val="single" w:sz="8" w:space="0" w:color="auto"/>
            </w:tcBorders>
            <w:vAlign w:val="center"/>
            <w:hideMark/>
          </w:tcPr>
          <w:p w14:paraId="6DDAA18B"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8"/>
                <w:szCs w:val="18"/>
                <w:lang w:eastAsia="hr-HR"/>
              </w:rPr>
              <w:t xml:space="preserve">  0</w:t>
            </w:r>
          </w:p>
        </w:tc>
        <w:tc>
          <w:tcPr>
            <w:tcW w:w="992" w:type="dxa"/>
            <w:tcBorders>
              <w:top w:val="nil"/>
              <w:left w:val="nil"/>
              <w:bottom w:val="single" w:sz="8" w:space="0" w:color="auto"/>
              <w:right w:val="single" w:sz="8" w:space="0" w:color="auto"/>
            </w:tcBorders>
            <w:vAlign w:val="center"/>
            <w:hideMark/>
          </w:tcPr>
          <w:p w14:paraId="7774439C"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936" w:type="dxa"/>
            <w:tcBorders>
              <w:top w:val="nil"/>
              <w:left w:val="nil"/>
              <w:bottom w:val="single" w:sz="8" w:space="0" w:color="auto"/>
              <w:right w:val="single" w:sz="8" w:space="0" w:color="auto"/>
            </w:tcBorders>
            <w:vAlign w:val="center"/>
            <w:hideMark/>
          </w:tcPr>
          <w:p w14:paraId="4252AA16"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8"/>
                <w:szCs w:val="18"/>
                <w:lang w:eastAsia="hr-HR"/>
              </w:rPr>
              <w:t>0</w:t>
            </w:r>
          </w:p>
        </w:tc>
        <w:tc>
          <w:tcPr>
            <w:tcW w:w="1048" w:type="dxa"/>
            <w:tcBorders>
              <w:top w:val="nil"/>
              <w:left w:val="nil"/>
              <w:bottom w:val="single" w:sz="8" w:space="0" w:color="auto"/>
              <w:right w:val="single" w:sz="8" w:space="0" w:color="auto"/>
            </w:tcBorders>
            <w:vAlign w:val="center"/>
            <w:hideMark/>
          </w:tcPr>
          <w:p w14:paraId="7853F5EA"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8"/>
                <w:szCs w:val="18"/>
                <w:lang w:eastAsia="hr-HR"/>
              </w:rPr>
              <w:t xml:space="preserve"> 0</w:t>
            </w:r>
          </w:p>
        </w:tc>
        <w:tc>
          <w:tcPr>
            <w:tcW w:w="993" w:type="dxa"/>
            <w:tcBorders>
              <w:top w:val="nil"/>
              <w:left w:val="nil"/>
              <w:bottom w:val="single" w:sz="8" w:space="0" w:color="auto"/>
              <w:right w:val="single" w:sz="8" w:space="0" w:color="auto"/>
            </w:tcBorders>
            <w:vAlign w:val="center"/>
            <w:hideMark/>
          </w:tcPr>
          <w:p w14:paraId="480E0FBD" w14:textId="77777777" w:rsidR="00D54306" w:rsidRPr="00D54306" w:rsidRDefault="00D54306" w:rsidP="00D54306">
            <w:pPr>
              <w:jc w:val="right"/>
              <w:rPr>
                <w:rFonts w:ascii="Times New Roman" w:eastAsia="Times New Roman" w:hAnsi="Times New Roman" w:cs="Times New Roman"/>
                <w:b/>
                <w:bCs/>
                <w:noProof w:val="0"/>
                <w:color w:val="000000"/>
                <w:sz w:val="18"/>
                <w:szCs w:val="18"/>
                <w:lang w:eastAsia="hr-HR"/>
              </w:rPr>
            </w:pPr>
            <w:r w:rsidRPr="00D54306">
              <w:rPr>
                <w:rFonts w:ascii="Times New Roman" w:eastAsia="Times New Roman" w:hAnsi="Times New Roman" w:cs="Times New Roman"/>
                <w:b/>
                <w:bCs/>
                <w:noProof w:val="0"/>
                <w:color w:val="000000"/>
                <w:sz w:val="18"/>
                <w:szCs w:val="18"/>
                <w:lang w:eastAsia="hr-HR"/>
              </w:rPr>
              <w:t>0</w:t>
            </w:r>
          </w:p>
        </w:tc>
        <w:tc>
          <w:tcPr>
            <w:tcW w:w="1180" w:type="dxa"/>
            <w:tcBorders>
              <w:top w:val="nil"/>
              <w:left w:val="nil"/>
              <w:bottom w:val="single" w:sz="8" w:space="0" w:color="auto"/>
              <w:right w:val="single" w:sz="8" w:space="0" w:color="auto"/>
            </w:tcBorders>
            <w:vAlign w:val="center"/>
            <w:hideMark/>
          </w:tcPr>
          <w:p w14:paraId="5E7E97B5" w14:textId="77777777" w:rsidR="00D54306" w:rsidRPr="00D54306" w:rsidRDefault="00D54306" w:rsidP="00D54306">
            <w:pPr>
              <w:jc w:val="right"/>
              <w:rPr>
                <w:rFonts w:ascii="Times New Roman" w:eastAsia="Times New Roman" w:hAnsi="Times New Roman" w:cs="Times New Roman"/>
                <w:b/>
                <w:bCs/>
                <w:noProof w:val="0"/>
                <w:color w:val="000000"/>
                <w:sz w:val="16"/>
                <w:szCs w:val="16"/>
                <w:lang w:eastAsia="hr-HR"/>
              </w:rPr>
            </w:pPr>
            <w:r w:rsidRPr="00D54306">
              <w:rPr>
                <w:rFonts w:ascii="Times New Roman" w:eastAsia="Times New Roman" w:hAnsi="Times New Roman" w:cs="Times New Roman"/>
                <w:b/>
                <w:bCs/>
                <w:noProof w:val="0"/>
                <w:color w:val="000000"/>
                <w:sz w:val="18"/>
                <w:szCs w:val="18"/>
                <w:lang w:eastAsia="hr-HR"/>
              </w:rPr>
              <w:t xml:space="preserve"> 0</w:t>
            </w:r>
          </w:p>
        </w:tc>
      </w:tr>
      <w:tr w:rsidR="00D54306" w:rsidRPr="00D54306" w14:paraId="520E3917" w14:textId="77777777" w:rsidTr="0098137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36E643BF" w14:textId="77777777" w:rsidR="00D54306" w:rsidRPr="00D54306" w:rsidRDefault="00D54306" w:rsidP="00D54306">
            <w:pPr>
              <w:rPr>
                <w:rFonts w:ascii="Times New Roman" w:eastAsia="Times New Roman" w:hAnsi="Times New Roman" w:cs="Times New Roman"/>
                <w:noProof w:val="0"/>
                <w:color w:val="000000"/>
                <w:sz w:val="18"/>
                <w:szCs w:val="18"/>
                <w:lang w:eastAsia="hr-HR"/>
              </w:rPr>
            </w:pPr>
          </w:p>
        </w:tc>
        <w:tc>
          <w:tcPr>
            <w:tcW w:w="1600" w:type="dxa"/>
            <w:tcBorders>
              <w:top w:val="nil"/>
              <w:left w:val="nil"/>
              <w:bottom w:val="single" w:sz="8" w:space="0" w:color="auto"/>
              <w:right w:val="single" w:sz="8" w:space="0" w:color="auto"/>
            </w:tcBorders>
            <w:vAlign w:val="center"/>
            <w:hideMark/>
          </w:tcPr>
          <w:p w14:paraId="3AC1C403" w14:textId="77777777" w:rsidR="00D54306" w:rsidRPr="00D54306" w:rsidRDefault="00D54306" w:rsidP="00D54306">
            <w:pPr>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Rashodi poslovanja</w:t>
            </w:r>
          </w:p>
        </w:tc>
        <w:tc>
          <w:tcPr>
            <w:tcW w:w="1180" w:type="dxa"/>
            <w:tcBorders>
              <w:top w:val="nil"/>
              <w:left w:val="nil"/>
              <w:bottom w:val="single" w:sz="8" w:space="0" w:color="auto"/>
              <w:right w:val="single" w:sz="8" w:space="0" w:color="auto"/>
            </w:tcBorders>
            <w:vAlign w:val="center"/>
            <w:hideMark/>
          </w:tcPr>
          <w:p w14:paraId="368987D3"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4.295,15</w:t>
            </w:r>
          </w:p>
        </w:tc>
        <w:tc>
          <w:tcPr>
            <w:tcW w:w="1180" w:type="dxa"/>
            <w:tcBorders>
              <w:top w:val="nil"/>
              <w:left w:val="nil"/>
              <w:bottom w:val="single" w:sz="8" w:space="0" w:color="auto"/>
              <w:right w:val="single" w:sz="8" w:space="0" w:color="auto"/>
            </w:tcBorders>
            <w:vAlign w:val="center"/>
            <w:hideMark/>
          </w:tcPr>
          <w:p w14:paraId="552C703C"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4.078,00</w:t>
            </w:r>
          </w:p>
        </w:tc>
        <w:tc>
          <w:tcPr>
            <w:tcW w:w="1034" w:type="dxa"/>
            <w:tcBorders>
              <w:top w:val="nil"/>
              <w:left w:val="nil"/>
              <w:bottom w:val="single" w:sz="8" w:space="0" w:color="auto"/>
              <w:right w:val="single" w:sz="8" w:space="0" w:color="auto"/>
            </w:tcBorders>
            <w:vAlign w:val="center"/>
            <w:hideMark/>
          </w:tcPr>
          <w:p w14:paraId="24DA8BAF"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4.800,00</w:t>
            </w:r>
          </w:p>
        </w:tc>
        <w:tc>
          <w:tcPr>
            <w:tcW w:w="936" w:type="dxa"/>
            <w:tcBorders>
              <w:top w:val="nil"/>
              <w:left w:val="nil"/>
              <w:bottom w:val="single" w:sz="8" w:space="0" w:color="auto"/>
              <w:right w:val="single" w:sz="8" w:space="0" w:color="auto"/>
            </w:tcBorders>
            <w:vAlign w:val="center"/>
            <w:hideMark/>
          </w:tcPr>
          <w:p w14:paraId="6F2D82E7"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w:t>
            </w:r>
          </w:p>
        </w:tc>
        <w:tc>
          <w:tcPr>
            <w:tcW w:w="1048" w:type="dxa"/>
            <w:tcBorders>
              <w:top w:val="nil"/>
              <w:left w:val="nil"/>
              <w:bottom w:val="single" w:sz="8" w:space="0" w:color="auto"/>
              <w:right w:val="single" w:sz="8" w:space="0" w:color="auto"/>
            </w:tcBorders>
            <w:vAlign w:val="center"/>
            <w:hideMark/>
          </w:tcPr>
          <w:p w14:paraId="4003B8F3"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 xml:space="preserve"> 4.800,00</w:t>
            </w:r>
          </w:p>
        </w:tc>
        <w:tc>
          <w:tcPr>
            <w:tcW w:w="993" w:type="dxa"/>
            <w:tcBorders>
              <w:top w:val="nil"/>
              <w:left w:val="nil"/>
              <w:bottom w:val="single" w:sz="8" w:space="0" w:color="auto"/>
              <w:right w:val="single" w:sz="8" w:space="0" w:color="auto"/>
            </w:tcBorders>
            <w:vAlign w:val="center"/>
            <w:hideMark/>
          </w:tcPr>
          <w:p w14:paraId="69DB24CE"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0,00</w:t>
            </w:r>
          </w:p>
        </w:tc>
        <w:tc>
          <w:tcPr>
            <w:tcW w:w="992" w:type="dxa"/>
            <w:tcBorders>
              <w:top w:val="nil"/>
              <w:left w:val="nil"/>
              <w:bottom w:val="single" w:sz="8" w:space="0" w:color="auto"/>
              <w:right w:val="single" w:sz="8" w:space="0" w:color="auto"/>
            </w:tcBorders>
            <w:vAlign w:val="center"/>
            <w:hideMark/>
          </w:tcPr>
          <w:p w14:paraId="171FED92"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0,00</w:t>
            </w:r>
          </w:p>
        </w:tc>
        <w:tc>
          <w:tcPr>
            <w:tcW w:w="936" w:type="dxa"/>
            <w:tcBorders>
              <w:top w:val="nil"/>
              <w:left w:val="nil"/>
              <w:bottom w:val="single" w:sz="8" w:space="0" w:color="auto"/>
              <w:right w:val="single" w:sz="8" w:space="0" w:color="auto"/>
            </w:tcBorders>
            <w:vAlign w:val="center"/>
            <w:hideMark/>
          </w:tcPr>
          <w:p w14:paraId="3EE9C1BF"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0,00</w:t>
            </w:r>
          </w:p>
        </w:tc>
        <w:tc>
          <w:tcPr>
            <w:tcW w:w="1048" w:type="dxa"/>
            <w:tcBorders>
              <w:top w:val="nil"/>
              <w:left w:val="nil"/>
              <w:bottom w:val="single" w:sz="8" w:space="0" w:color="auto"/>
              <w:right w:val="single" w:sz="8" w:space="0" w:color="auto"/>
            </w:tcBorders>
            <w:vAlign w:val="center"/>
            <w:hideMark/>
          </w:tcPr>
          <w:p w14:paraId="28BA8FB5"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0,00</w:t>
            </w:r>
          </w:p>
        </w:tc>
        <w:tc>
          <w:tcPr>
            <w:tcW w:w="993" w:type="dxa"/>
            <w:tcBorders>
              <w:top w:val="nil"/>
              <w:left w:val="nil"/>
              <w:bottom w:val="single" w:sz="8" w:space="0" w:color="auto"/>
              <w:right w:val="single" w:sz="8" w:space="0" w:color="auto"/>
            </w:tcBorders>
            <w:vAlign w:val="center"/>
            <w:hideMark/>
          </w:tcPr>
          <w:p w14:paraId="1827EBFF"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0,00</w:t>
            </w:r>
          </w:p>
        </w:tc>
        <w:tc>
          <w:tcPr>
            <w:tcW w:w="1180" w:type="dxa"/>
            <w:tcBorders>
              <w:top w:val="nil"/>
              <w:left w:val="nil"/>
              <w:bottom w:val="single" w:sz="8" w:space="0" w:color="auto"/>
              <w:right w:val="single" w:sz="8" w:space="0" w:color="auto"/>
            </w:tcBorders>
            <w:vAlign w:val="center"/>
            <w:hideMark/>
          </w:tcPr>
          <w:p w14:paraId="4E9555ED" w14:textId="77777777" w:rsidR="00D54306" w:rsidRPr="00D54306" w:rsidRDefault="00D54306" w:rsidP="00D54306">
            <w:pPr>
              <w:jc w:val="right"/>
              <w:rPr>
                <w:rFonts w:ascii="Times New Roman" w:eastAsia="Times New Roman" w:hAnsi="Times New Roman" w:cs="Times New Roman"/>
                <w:noProof w:val="0"/>
                <w:color w:val="000000"/>
                <w:sz w:val="16"/>
                <w:szCs w:val="16"/>
                <w:lang w:eastAsia="hr-HR"/>
              </w:rPr>
            </w:pPr>
            <w:r w:rsidRPr="00D54306">
              <w:rPr>
                <w:rFonts w:ascii="Times New Roman" w:eastAsia="Times New Roman" w:hAnsi="Times New Roman" w:cs="Times New Roman"/>
                <w:noProof w:val="0"/>
                <w:color w:val="000000"/>
                <w:sz w:val="16"/>
                <w:szCs w:val="16"/>
                <w:lang w:eastAsia="hr-HR"/>
              </w:rPr>
              <w:t>0,00</w:t>
            </w:r>
          </w:p>
        </w:tc>
      </w:tr>
    </w:tbl>
    <w:p w14:paraId="06B118F3" w14:textId="77777777" w:rsidR="00D54306" w:rsidRPr="00D54306" w:rsidRDefault="00D54306" w:rsidP="00D54306">
      <w:pPr>
        <w:jc w:val="both"/>
        <w:rPr>
          <w:rFonts w:ascii="Times New Roman" w:eastAsia="Times New Roman" w:hAnsi="Times New Roman" w:cs="Times New Roman"/>
          <w:b/>
          <w:noProof w:val="0"/>
          <w:sz w:val="24"/>
          <w:szCs w:val="24"/>
          <w:lang w:eastAsia="hr-HR"/>
        </w:rPr>
        <w:sectPr w:rsidR="00D54306" w:rsidRPr="00D54306" w:rsidSect="00A02F29">
          <w:pgSz w:w="16838" w:h="11906" w:orient="landscape"/>
          <w:pgMar w:top="1418" w:right="1021" w:bottom="1418" w:left="1021" w:header="709" w:footer="709" w:gutter="0"/>
          <w:cols w:space="708"/>
          <w:docGrid w:linePitch="360"/>
        </w:sectPr>
      </w:pPr>
    </w:p>
    <w:p w14:paraId="5316E3D7"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lastRenderedPageBreak/>
        <w:t xml:space="preserve">Napominjemo da postoji realna mogućnost smanjenja limita ovisno o ostvarenju prihoda te dinamici i realizaciji kapitalnih projekata.  </w:t>
      </w:r>
    </w:p>
    <w:p w14:paraId="302F8679" w14:textId="77777777" w:rsidR="00D54306" w:rsidRPr="00D54306" w:rsidRDefault="00D54306" w:rsidP="00D54306">
      <w:pPr>
        <w:ind w:firstLine="360"/>
        <w:jc w:val="both"/>
        <w:rPr>
          <w:rFonts w:ascii="Times New Roman" w:eastAsia="Times New Roman" w:hAnsi="Times New Roman" w:cs="Times New Roman"/>
          <w:b/>
          <w:noProof w:val="0"/>
          <w:color w:val="FF0000"/>
          <w:lang w:eastAsia="hr-HR"/>
        </w:rPr>
      </w:pPr>
    </w:p>
    <w:p w14:paraId="2A46A1DB" w14:textId="77777777" w:rsidR="00D54306" w:rsidRPr="00D54306" w:rsidRDefault="00D54306" w:rsidP="00D54306">
      <w:pPr>
        <w:ind w:firstLine="360"/>
        <w:jc w:val="both"/>
        <w:rPr>
          <w:rFonts w:ascii="Times New Roman" w:eastAsia="Times New Roman" w:hAnsi="Times New Roman" w:cs="Times New Roman"/>
          <w:b/>
          <w:noProof w:val="0"/>
          <w:lang w:eastAsia="hr-HR"/>
        </w:rPr>
      </w:pPr>
      <w:r w:rsidRPr="00D54306">
        <w:rPr>
          <w:rFonts w:ascii="Times New Roman" w:eastAsia="Times New Roman" w:hAnsi="Times New Roman" w:cs="Times New Roman"/>
          <w:b/>
          <w:noProof w:val="0"/>
          <w:lang w:eastAsia="hr-HR"/>
        </w:rPr>
        <w:t>Ukoliko postoji opravdani zahtjev za uvođenje i provedbu novih ili promjenu postojećih programa, odnosno aktivnosti Jedinstveni upravni odjel utvrditi će temeljem obrazloženog pismenog zahtjeva proračunskog korisnika limite za navedeno.</w:t>
      </w:r>
    </w:p>
    <w:p w14:paraId="72BC167D" w14:textId="77777777" w:rsidR="00D54306" w:rsidRPr="00D54306" w:rsidRDefault="00D54306" w:rsidP="00D54306">
      <w:pPr>
        <w:ind w:firstLine="360"/>
        <w:jc w:val="both"/>
        <w:rPr>
          <w:rFonts w:ascii="Times New Roman" w:eastAsia="Times New Roman" w:hAnsi="Times New Roman" w:cs="Times New Roman"/>
          <w:noProof w:val="0"/>
          <w:lang w:eastAsia="hr-HR"/>
        </w:rPr>
      </w:pPr>
    </w:p>
    <w:p w14:paraId="34B7A1A3"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Vezano uz rashode za zaposlene, proračunski korisnici moraju se pridržavati sistematizacije i plana prijema u službu. Proračunski korisnici ne mogu u 2023. godini povećavati broj zaposlenih djelatnika bez suglasnosti osnivača.</w:t>
      </w:r>
    </w:p>
    <w:p w14:paraId="03C0B72C" w14:textId="77777777" w:rsidR="00D54306" w:rsidRPr="00D54306" w:rsidRDefault="00D54306" w:rsidP="00D54306">
      <w:pPr>
        <w:ind w:firstLine="360"/>
        <w:jc w:val="both"/>
        <w:rPr>
          <w:rFonts w:ascii="Times New Roman" w:eastAsia="Times New Roman" w:hAnsi="Times New Roman" w:cs="Times New Roman"/>
          <w:noProof w:val="0"/>
          <w:lang w:eastAsia="hr-HR"/>
        </w:rPr>
      </w:pPr>
    </w:p>
    <w:p w14:paraId="133FB501"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Korisnici proračuna ostale rashode za zaposlene planiraju u svom prijedlogu financijskog plana sukladno odredbama općih akata.</w:t>
      </w:r>
    </w:p>
    <w:p w14:paraId="0E0FACAD" w14:textId="77777777" w:rsidR="00D54306" w:rsidRPr="00D54306" w:rsidRDefault="00D54306" w:rsidP="00D54306">
      <w:pPr>
        <w:ind w:firstLine="357"/>
        <w:jc w:val="both"/>
        <w:rPr>
          <w:rFonts w:ascii="Times New Roman" w:eastAsia="Times New Roman" w:hAnsi="Times New Roman" w:cs="Times New Roman"/>
          <w:b/>
          <w:noProof w:val="0"/>
          <w:lang w:eastAsia="hr-HR"/>
        </w:rPr>
      </w:pPr>
    </w:p>
    <w:p w14:paraId="0A601D00" w14:textId="77777777" w:rsidR="00D54306" w:rsidRPr="00D54306" w:rsidRDefault="00D54306" w:rsidP="00D54306">
      <w:pPr>
        <w:ind w:firstLine="357"/>
        <w:jc w:val="both"/>
        <w:rPr>
          <w:rFonts w:ascii="Times New Roman" w:eastAsia="Times New Roman" w:hAnsi="Times New Roman" w:cs="Times New Roman"/>
          <w:b/>
          <w:noProof w:val="0"/>
          <w:lang w:eastAsia="hr-HR"/>
        </w:rPr>
      </w:pPr>
      <w:r w:rsidRPr="00D54306">
        <w:rPr>
          <w:rFonts w:ascii="Times New Roman" w:eastAsia="Times New Roman" w:hAnsi="Times New Roman" w:cs="Times New Roman"/>
          <w:b/>
          <w:noProof w:val="0"/>
          <w:lang w:eastAsia="hr-HR"/>
        </w:rPr>
        <w:t xml:space="preserve">Do daljnjega je upitna mogućnost isplate </w:t>
      </w:r>
      <w:proofErr w:type="spellStart"/>
      <w:r w:rsidRPr="00D54306">
        <w:rPr>
          <w:rFonts w:ascii="Times New Roman" w:eastAsia="Times New Roman" w:hAnsi="Times New Roman" w:cs="Times New Roman"/>
          <w:b/>
          <w:noProof w:val="0"/>
          <w:lang w:eastAsia="hr-HR"/>
        </w:rPr>
        <w:t>uskrsnice</w:t>
      </w:r>
      <w:proofErr w:type="spellEnd"/>
      <w:r w:rsidRPr="00D54306">
        <w:rPr>
          <w:rFonts w:ascii="Times New Roman" w:eastAsia="Times New Roman" w:hAnsi="Times New Roman" w:cs="Times New Roman"/>
          <w:b/>
          <w:noProof w:val="0"/>
          <w:lang w:eastAsia="hr-HR"/>
        </w:rPr>
        <w:t xml:space="preserve">, božićnice i regresa za godišnji odmor. Potrebno ih je planirati u skladu sa općim aktima, a sama isplata ovisit će o ostvarenju prihoda proračuna i mogućnosti isplate istih. </w:t>
      </w:r>
    </w:p>
    <w:p w14:paraId="24454CAA" w14:textId="77777777" w:rsidR="00D54306" w:rsidRPr="00D54306" w:rsidRDefault="00D54306" w:rsidP="00D54306">
      <w:pPr>
        <w:ind w:firstLine="357"/>
        <w:jc w:val="both"/>
        <w:rPr>
          <w:rFonts w:ascii="Times New Roman" w:eastAsia="Times New Roman" w:hAnsi="Times New Roman" w:cs="Times New Roman"/>
          <w:noProof w:val="0"/>
          <w:lang w:eastAsia="hr-HR"/>
        </w:rPr>
      </w:pPr>
    </w:p>
    <w:p w14:paraId="119ACA10"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Doprinosi na plaće planiraju se sukladno važećim zakonskim odredbama (Zakon o doprinosima za obvezna osiguranja, Pravilnik o doprinosima na obvezna osiguranja i Naredba o iznosima osnovica za obračun doprinosa). </w:t>
      </w:r>
    </w:p>
    <w:p w14:paraId="7A46730B" w14:textId="77777777" w:rsidR="00D54306" w:rsidRPr="00D54306" w:rsidRDefault="00D54306" w:rsidP="00D54306">
      <w:pPr>
        <w:autoSpaceDE w:val="0"/>
        <w:autoSpaceDN w:val="0"/>
        <w:adjustRightInd w:val="0"/>
        <w:ind w:firstLine="357"/>
        <w:jc w:val="both"/>
        <w:rPr>
          <w:rFonts w:ascii="Times New Roman" w:eastAsia="Times New Roman" w:hAnsi="Times New Roman" w:cs="Times New Roman"/>
          <w:noProof w:val="0"/>
          <w:lang w:eastAsia="hr-HR"/>
        </w:rPr>
      </w:pPr>
    </w:p>
    <w:p w14:paraId="7BB865C7"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Proračunski korisnici trebaju prvenstveno planirati projekte u skladu s utvrđenim prioritetima, raspoloživim sredstvima te realnom dinamikom provedbe pojedinih projekata. Proračunskim korisnicima se napominje da, sukladno Zakonu o proračunu, visina financijskog plana po razdjelima organizacijske klasifikacije obuhvaća: </w:t>
      </w:r>
    </w:p>
    <w:p w14:paraId="6C257C00" w14:textId="77777777" w:rsidR="00D54306" w:rsidRPr="00D54306" w:rsidRDefault="00D54306" w:rsidP="00D54306">
      <w:pPr>
        <w:numPr>
          <w:ilvl w:val="0"/>
          <w:numId w:val="3"/>
        </w:numPr>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visinu sredstava potrebnih za provedbu postojećih programa, odnosno aktivnosti, koje proizlaze iz trenutno važećih propisa, i </w:t>
      </w:r>
    </w:p>
    <w:p w14:paraId="7512FDD0" w14:textId="77777777" w:rsidR="00D54306" w:rsidRPr="00D54306" w:rsidRDefault="00D54306" w:rsidP="00D54306">
      <w:pPr>
        <w:numPr>
          <w:ilvl w:val="0"/>
          <w:numId w:val="3"/>
        </w:numPr>
        <w:jc w:val="both"/>
        <w:rPr>
          <w:rFonts w:ascii="Times New Roman" w:eastAsia="Times New Roman" w:hAnsi="Times New Roman" w:cs="Times New Roman"/>
          <w:b/>
          <w:noProof w:val="0"/>
          <w:lang w:eastAsia="hr-HR"/>
        </w:rPr>
      </w:pPr>
      <w:r w:rsidRPr="00D54306">
        <w:rPr>
          <w:rFonts w:ascii="Times New Roman" w:eastAsia="Times New Roman" w:hAnsi="Times New Roman" w:cs="Times New Roman"/>
          <w:noProof w:val="0"/>
          <w:lang w:eastAsia="hr-HR"/>
        </w:rPr>
        <w:t xml:space="preserve">visinu sredstava potrebnih za uvođenje i provedbu novih ili promjenu postojećih programa, odnosno aktivnosti. </w:t>
      </w:r>
    </w:p>
    <w:p w14:paraId="74A01177" w14:textId="77777777" w:rsidR="00D54306" w:rsidRPr="00D54306" w:rsidRDefault="00D54306" w:rsidP="00D54306">
      <w:pPr>
        <w:ind w:left="360"/>
        <w:contextualSpacing/>
        <w:rPr>
          <w:rFonts w:ascii="Times New Roman" w:eastAsia="Times New Roman" w:hAnsi="Times New Roman" w:cs="Times New Roman"/>
          <w:b/>
          <w:bCs/>
          <w:noProof w:val="0"/>
          <w:spacing w:val="-10"/>
          <w:kern w:val="28"/>
          <w:sz w:val="28"/>
          <w:szCs w:val="28"/>
          <w:lang w:eastAsia="hr-HR"/>
        </w:rPr>
      </w:pPr>
    </w:p>
    <w:p w14:paraId="3BCAFAA4" w14:textId="77777777" w:rsidR="00D54306" w:rsidRPr="00D54306" w:rsidRDefault="00D54306" w:rsidP="00D54306">
      <w:pPr>
        <w:ind w:left="360" w:hanging="360"/>
        <w:contextualSpacing/>
        <w:rPr>
          <w:rFonts w:ascii="Times New Roman" w:eastAsia="Times New Roman" w:hAnsi="Times New Roman" w:cs="Times New Roman"/>
          <w:b/>
          <w:bCs/>
          <w:noProof w:val="0"/>
          <w:spacing w:val="-10"/>
          <w:kern w:val="28"/>
          <w:sz w:val="28"/>
          <w:szCs w:val="28"/>
          <w:lang w:eastAsia="hr-HR"/>
        </w:rPr>
      </w:pPr>
      <w:r w:rsidRPr="00D54306">
        <w:rPr>
          <w:rFonts w:ascii="Times New Roman" w:eastAsia="Times New Roman" w:hAnsi="Times New Roman" w:cs="Times New Roman"/>
          <w:b/>
          <w:bCs/>
          <w:noProof w:val="0"/>
          <w:spacing w:val="-10"/>
          <w:kern w:val="28"/>
          <w:sz w:val="28"/>
          <w:szCs w:val="28"/>
          <w:lang w:eastAsia="hr-HR"/>
        </w:rPr>
        <w:t xml:space="preserve">NAČIN IZRADE I ROK ZA DOSTAVU PRIJEDLOGA FINANCIJSKIH PLANOVA PRORAČUNSKIH KORISNIKA </w:t>
      </w:r>
    </w:p>
    <w:p w14:paraId="74FE3B85" w14:textId="77777777" w:rsidR="00D54306" w:rsidRPr="00D54306" w:rsidRDefault="00D54306" w:rsidP="00D54306">
      <w:pPr>
        <w:jc w:val="both"/>
        <w:rPr>
          <w:rFonts w:ascii="Times New Roman" w:eastAsia="Times New Roman" w:hAnsi="Times New Roman" w:cs="Times New Roman"/>
          <w:b/>
          <w:bCs/>
          <w:noProof w:val="0"/>
          <w:sz w:val="24"/>
          <w:szCs w:val="24"/>
          <w:lang w:eastAsia="hr-HR"/>
        </w:rPr>
      </w:pPr>
    </w:p>
    <w:p w14:paraId="583E4444" w14:textId="77777777" w:rsidR="00D54306" w:rsidRPr="00D54306" w:rsidRDefault="00D54306" w:rsidP="00D54306">
      <w:pPr>
        <w:keepNext/>
        <w:keepLines/>
        <w:numPr>
          <w:ilvl w:val="1"/>
          <w:numId w:val="0"/>
        </w:numPr>
        <w:spacing w:before="240"/>
        <w:ind w:left="360" w:hanging="360"/>
        <w:outlineLvl w:val="0"/>
        <w:rPr>
          <w:rFonts w:ascii="Times New Roman" w:eastAsia="Times New Roman" w:hAnsi="Times New Roman" w:cs="Times New Roman"/>
          <w:b/>
          <w:bCs/>
          <w:noProof w:val="0"/>
          <w:sz w:val="24"/>
          <w:szCs w:val="24"/>
          <w:lang w:eastAsia="hr-HR"/>
        </w:rPr>
      </w:pPr>
      <w:bookmarkStart w:id="5" w:name="_Toc147311459"/>
      <w:r w:rsidRPr="00D54306">
        <w:rPr>
          <w:rFonts w:ascii="Times New Roman" w:eastAsia="Times New Roman" w:hAnsi="Times New Roman" w:cs="Times New Roman"/>
          <w:b/>
          <w:bCs/>
          <w:noProof w:val="0"/>
          <w:sz w:val="24"/>
          <w:szCs w:val="24"/>
          <w:lang w:eastAsia="hr-HR"/>
        </w:rPr>
        <w:t>Sadržaj financijskog plana proračunskih korisnika Općine Kneževi Vinogradi</w:t>
      </w:r>
      <w:bookmarkEnd w:id="5"/>
    </w:p>
    <w:p w14:paraId="67CDD4B8" w14:textId="77777777" w:rsidR="00D54306" w:rsidRPr="00D54306" w:rsidRDefault="00D54306" w:rsidP="00D54306">
      <w:pPr>
        <w:jc w:val="both"/>
        <w:rPr>
          <w:rFonts w:ascii="Times New Roman" w:eastAsia="Times New Roman" w:hAnsi="Times New Roman" w:cs="Times New Roman"/>
          <w:noProof w:val="0"/>
          <w:sz w:val="24"/>
          <w:szCs w:val="24"/>
          <w:lang w:eastAsia="hr-HR"/>
        </w:rPr>
      </w:pPr>
    </w:p>
    <w:p w14:paraId="5E6685E3" w14:textId="77777777" w:rsidR="00D54306" w:rsidRPr="00D54306" w:rsidRDefault="00D54306" w:rsidP="00D54306">
      <w:pPr>
        <w:ind w:firstLine="708"/>
        <w:jc w:val="both"/>
        <w:rPr>
          <w:rFonts w:ascii="Times New Roman" w:eastAsia="Times New Roman" w:hAnsi="Times New Roman" w:cs="Times New Roman"/>
          <w:noProof w:val="0"/>
          <w:sz w:val="24"/>
          <w:szCs w:val="24"/>
          <w:lang w:eastAsia="hr-HR"/>
        </w:rPr>
      </w:pPr>
      <w:r w:rsidRPr="00D54306">
        <w:rPr>
          <w:rFonts w:ascii="Times New Roman" w:eastAsia="Times New Roman" w:hAnsi="Times New Roman" w:cs="Times New Roman"/>
          <w:noProof w:val="0"/>
          <w:sz w:val="24"/>
          <w:szCs w:val="24"/>
          <w:lang w:eastAsia="hr-HR"/>
        </w:rPr>
        <w:t>Proračunski korisnici Općine  prihode i primitke, rashode i izdatke za 2024.godinu planiraju na razini skupine (druga razina računskog plana) isto kao za 2025. i 2026. godinu. Međutim, s obzirom na konsolidaciju i unos u sustav, proračunski korisnici iako usvajaju svoje financijske planove na drugoj razini, dužni su dostaviti JUO svoje planove na četvrtoj odnosno petoj razini računskog plana.</w:t>
      </w:r>
    </w:p>
    <w:p w14:paraId="1E2B36A6" w14:textId="77777777" w:rsidR="00D54306" w:rsidRPr="00D54306" w:rsidRDefault="00D54306" w:rsidP="00D54306">
      <w:pPr>
        <w:ind w:firstLine="708"/>
        <w:jc w:val="both"/>
        <w:rPr>
          <w:rFonts w:ascii="Times New Roman" w:eastAsia="Times New Roman" w:hAnsi="Times New Roman" w:cs="Times New Roman"/>
          <w:noProof w:val="0"/>
          <w:sz w:val="24"/>
          <w:szCs w:val="24"/>
          <w:lang w:eastAsia="hr-HR"/>
        </w:rPr>
      </w:pPr>
    </w:p>
    <w:p w14:paraId="7ADC4855" w14:textId="77777777" w:rsidR="00D54306" w:rsidRPr="00D54306" w:rsidRDefault="00D54306" w:rsidP="00D54306">
      <w:pPr>
        <w:ind w:firstLine="708"/>
        <w:jc w:val="both"/>
        <w:rPr>
          <w:rFonts w:ascii="Times New Roman" w:eastAsia="Times New Roman" w:hAnsi="Times New Roman" w:cs="Times New Roman"/>
          <w:noProof w:val="0"/>
          <w:sz w:val="24"/>
          <w:szCs w:val="24"/>
          <w:lang w:eastAsia="hr-HR"/>
        </w:rPr>
      </w:pPr>
      <w:r w:rsidRPr="00D54306">
        <w:rPr>
          <w:rFonts w:ascii="Times New Roman" w:eastAsia="Times New Roman" w:hAnsi="Times New Roman" w:cs="Times New Roman"/>
          <w:noProof w:val="0"/>
          <w:sz w:val="24"/>
          <w:szCs w:val="24"/>
          <w:lang w:eastAsia="hr-HR"/>
        </w:rPr>
        <w:t xml:space="preserve">Upravno vijeće ili drugo upravljačko tijelo obvezno je usvojiti financijski plan korisnika, a predstavničko tijelo proračun za 2024. godinu i projekcije za 2025. i 2026. na razini skupine (druga razina računskog plana). </w:t>
      </w:r>
    </w:p>
    <w:p w14:paraId="6FCFD066" w14:textId="77777777" w:rsidR="00D54306" w:rsidRPr="00D54306" w:rsidRDefault="00D54306" w:rsidP="00D54306">
      <w:pPr>
        <w:ind w:firstLine="708"/>
        <w:jc w:val="both"/>
        <w:rPr>
          <w:rFonts w:ascii="Times New Roman" w:eastAsia="Times New Roman" w:hAnsi="Times New Roman" w:cs="Times New Roman"/>
          <w:noProof w:val="0"/>
          <w:sz w:val="24"/>
          <w:szCs w:val="24"/>
          <w:lang w:eastAsia="hr-HR"/>
        </w:rPr>
      </w:pPr>
    </w:p>
    <w:p w14:paraId="127ACC13" w14:textId="77777777" w:rsidR="00D54306" w:rsidRPr="00D54306" w:rsidRDefault="00D54306" w:rsidP="00D54306">
      <w:pPr>
        <w:ind w:firstLine="708"/>
        <w:jc w:val="both"/>
        <w:rPr>
          <w:rFonts w:ascii="Times New Roman" w:eastAsia="Times New Roman" w:hAnsi="Times New Roman" w:cs="Times New Roman"/>
          <w:noProof w:val="0"/>
          <w:sz w:val="24"/>
          <w:szCs w:val="24"/>
          <w:lang w:eastAsia="hr-HR"/>
        </w:rPr>
      </w:pPr>
      <w:r w:rsidRPr="00D54306">
        <w:rPr>
          <w:rFonts w:ascii="Times New Roman" w:eastAsia="Times New Roman" w:hAnsi="Times New Roman" w:cs="Times New Roman"/>
          <w:b/>
          <w:bCs/>
          <w:noProof w:val="0"/>
          <w:sz w:val="24"/>
          <w:szCs w:val="24"/>
          <w:lang w:eastAsia="hr-HR"/>
        </w:rPr>
        <w:t xml:space="preserve">Prijedlog financijskog plana proračunskih  korisnika Općine </w:t>
      </w:r>
      <w:r w:rsidRPr="00D54306">
        <w:rPr>
          <w:rFonts w:ascii="Times New Roman" w:eastAsia="Times New Roman" w:hAnsi="Times New Roman" w:cs="Times New Roman"/>
          <w:noProof w:val="0"/>
          <w:sz w:val="24"/>
          <w:szCs w:val="24"/>
          <w:lang w:eastAsia="hr-HR"/>
        </w:rPr>
        <w:t xml:space="preserve">za razdoblje 2024. - 2026. sastoji se od plana za proračunsku godinu i projekcija za sljedeće dvije godine, a </w:t>
      </w:r>
      <w:r w:rsidRPr="00D54306">
        <w:rPr>
          <w:rFonts w:ascii="Times New Roman" w:eastAsia="Times New Roman" w:hAnsi="Times New Roman" w:cs="Times New Roman"/>
          <w:b/>
          <w:bCs/>
          <w:noProof w:val="0"/>
          <w:sz w:val="24"/>
          <w:szCs w:val="24"/>
          <w:lang w:eastAsia="hr-HR"/>
        </w:rPr>
        <w:t xml:space="preserve">sadrži opći i posebni dio te obrazloženje financijskog plana. </w:t>
      </w:r>
    </w:p>
    <w:p w14:paraId="0BF3A17D" w14:textId="77777777" w:rsidR="00D54306" w:rsidRPr="00D54306" w:rsidRDefault="00D54306" w:rsidP="00D54306">
      <w:pPr>
        <w:jc w:val="both"/>
        <w:rPr>
          <w:rFonts w:ascii="Times New Roman" w:eastAsia="Times New Roman" w:hAnsi="Times New Roman" w:cs="Times New Roman"/>
          <w:b/>
          <w:bCs/>
          <w:noProof w:val="0"/>
          <w:sz w:val="24"/>
          <w:szCs w:val="24"/>
          <w:lang w:eastAsia="hr-HR"/>
        </w:rPr>
      </w:pPr>
    </w:p>
    <w:p w14:paraId="1C86EED0" w14:textId="77777777" w:rsidR="00D54306" w:rsidRPr="00D54306" w:rsidRDefault="00D54306" w:rsidP="00D54306">
      <w:pPr>
        <w:ind w:firstLine="708"/>
        <w:jc w:val="both"/>
        <w:rPr>
          <w:rFonts w:ascii="Times New Roman" w:eastAsia="Times New Roman" w:hAnsi="Times New Roman" w:cs="Times New Roman"/>
          <w:noProof w:val="0"/>
          <w:sz w:val="24"/>
          <w:szCs w:val="24"/>
          <w:lang w:eastAsia="hr-HR"/>
        </w:rPr>
      </w:pPr>
      <w:r w:rsidRPr="00D54306">
        <w:rPr>
          <w:rFonts w:ascii="Times New Roman" w:eastAsia="Times New Roman" w:hAnsi="Times New Roman" w:cs="Times New Roman"/>
          <w:b/>
          <w:bCs/>
          <w:noProof w:val="0"/>
          <w:sz w:val="24"/>
          <w:szCs w:val="24"/>
          <w:lang w:eastAsia="hr-HR"/>
        </w:rPr>
        <w:t xml:space="preserve">Proračunski korisnici Općine dužni su, </w:t>
      </w:r>
      <w:r w:rsidRPr="00D54306">
        <w:rPr>
          <w:rFonts w:ascii="Times New Roman" w:eastAsia="Times New Roman" w:hAnsi="Times New Roman" w:cs="Times New Roman"/>
          <w:noProof w:val="0"/>
          <w:sz w:val="24"/>
          <w:szCs w:val="24"/>
          <w:lang w:eastAsia="hr-HR"/>
        </w:rPr>
        <w:t xml:space="preserve">kao i prethodnih godina, u svom financijskom planu iskazati sve svoje prihode i rashode bez obzira na moguće uplate dijela prihoda korisnika u proračun Općine ili podmirivanje dijela rashoda korisnika izravno s računa proračuna. </w:t>
      </w:r>
    </w:p>
    <w:p w14:paraId="7F845017" w14:textId="77777777" w:rsidR="00D54306" w:rsidRPr="00D54306" w:rsidRDefault="00D54306" w:rsidP="00D54306">
      <w:pPr>
        <w:ind w:firstLine="708"/>
        <w:jc w:val="both"/>
        <w:rPr>
          <w:rFonts w:ascii="Times New Roman" w:eastAsia="Times New Roman" w:hAnsi="Times New Roman" w:cs="Times New Roman"/>
          <w:noProof w:val="0"/>
          <w:sz w:val="24"/>
          <w:szCs w:val="24"/>
          <w:lang w:eastAsia="hr-HR"/>
        </w:rPr>
      </w:pPr>
    </w:p>
    <w:p w14:paraId="12017AD8" w14:textId="77777777" w:rsidR="00D54306" w:rsidRPr="00D54306" w:rsidRDefault="00D54306" w:rsidP="00D54306">
      <w:pPr>
        <w:jc w:val="both"/>
        <w:rPr>
          <w:rFonts w:ascii="Times New Roman" w:eastAsia="Times New Roman" w:hAnsi="Times New Roman" w:cs="Times New Roman"/>
          <w:noProof w:val="0"/>
          <w:sz w:val="24"/>
          <w:szCs w:val="24"/>
          <w:lang w:eastAsia="hr-HR"/>
        </w:rPr>
      </w:pPr>
      <w:r w:rsidRPr="00D54306">
        <w:rPr>
          <w:rFonts w:ascii="Times New Roman" w:eastAsia="Times New Roman" w:hAnsi="Times New Roman" w:cs="Times New Roman"/>
          <w:noProof w:val="0"/>
          <w:sz w:val="24"/>
          <w:szCs w:val="24"/>
          <w:lang w:eastAsia="hr-HR"/>
        </w:rPr>
        <w:t>Detaljni prikaz sadržaja financijskog plana proračunskog korisnika dan je u sljedećoj tablici:</w:t>
      </w:r>
    </w:p>
    <w:p w14:paraId="5DD266F1" w14:textId="77777777" w:rsidR="00D54306" w:rsidRPr="00D54306" w:rsidRDefault="00D54306" w:rsidP="00D54306">
      <w:pPr>
        <w:jc w:val="both"/>
        <w:rPr>
          <w:rFonts w:ascii="Times New Roman" w:eastAsia="Times New Roman" w:hAnsi="Times New Roman" w:cs="Times New Roman"/>
          <w:b/>
          <w:bCs/>
          <w:noProof w:val="0"/>
          <w:sz w:val="24"/>
          <w:szCs w:val="24"/>
          <w:lang w:eastAsia="hr-HR"/>
        </w:rPr>
      </w:pPr>
    </w:p>
    <w:tbl>
      <w:tblPr>
        <w:tblStyle w:val="TableGrid2"/>
        <w:tblW w:w="0" w:type="auto"/>
        <w:jc w:val="center"/>
        <w:tblLook w:val="04A0" w:firstRow="1" w:lastRow="0" w:firstColumn="1" w:lastColumn="0" w:noHBand="0" w:noVBand="1"/>
      </w:tblPr>
      <w:tblGrid>
        <w:gridCol w:w="2496"/>
        <w:gridCol w:w="2355"/>
        <w:gridCol w:w="4209"/>
      </w:tblGrid>
      <w:tr w:rsidR="00D54306" w:rsidRPr="00D54306" w14:paraId="0FB2CBE7" w14:textId="77777777" w:rsidTr="00D54306">
        <w:trPr>
          <w:jc w:val="center"/>
        </w:trPr>
        <w:tc>
          <w:tcPr>
            <w:tcW w:w="3823" w:type="dxa"/>
            <w:shd w:val="clear" w:color="auto" w:fill="BFBFBF"/>
          </w:tcPr>
          <w:p w14:paraId="6BC40769" w14:textId="77777777" w:rsidR="00D54306" w:rsidRPr="00D54306" w:rsidRDefault="00D54306" w:rsidP="00D54306">
            <w:pPr>
              <w:jc w:val="center"/>
              <w:rPr>
                <w:b/>
                <w:bCs/>
                <w:noProof w:val="0"/>
              </w:rPr>
            </w:pPr>
            <w:r w:rsidRPr="00D54306">
              <w:rPr>
                <w:b/>
                <w:bCs/>
                <w:noProof w:val="0"/>
              </w:rPr>
              <w:t>SADRŽAJ</w:t>
            </w:r>
          </w:p>
        </w:tc>
        <w:tc>
          <w:tcPr>
            <w:tcW w:w="3543" w:type="dxa"/>
            <w:shd w:val="clear" w:color="auto" w:fill="BFBFBF"/>
          </w:tcPr>
          <w:p w14:paraId="5A5D3B82" w14:textId="77777777" w:rsidR="00D54306" w:rsidRPr="00D54306" w:rsidRDefault="00D54306" w:rsidP="00D54306">
            <w:pPr>
              <w:jc w:val="center"/>
              <w:rPr>
                <w:b/>
                <w:bCs/>
                <w:noProof w:val="0"/>
              </w:rPr>
            </w:pPr>
            <w:r w:rsidRPr="00D54306">
              <w:rPr>
                <w:b/>
                <w:bCs/>
                <w:noProof w:val="0"/>
              </w:rPr>
              <w:t>SASTAVNI DIO</w:t>
            </w:r>
          </w:p>
        </w:tc>
        <w:tc>
          <w:tcPr>
            <w:tcW w:w="7420" w:type="dxa"/>
            <w:shd w:val="clear" w:color="auto" w:fill="BFBFBF"/>
          </w:tcPr>
          <w:p w14:paraId="45C0C783" w14:textId="77777777" w:rsidR="00D54306" w:rsidRPr="00D54306" w:rsidRDefault="00D54306" w:rsidP="00D54306">
            <w:pPr>
              <w:jc w:val="center"/>
              <w:rPr>
                <w:b/>
                <w:bCs/>
                <w:noProof w:val="0"/>
              </w:rPr>
            </w:pPr>
            <w:r w:rsidRPr="00D54306">
              <w:rPr>
                <w:b/>
                <w:bCs/>
                <w:noProof w:val="0"/>
              </w:rPr>
              <w:t>OPIS SASTAVNOG DIJELA</w:t>
            </w:r>
          </w:p>
        </w:tc>
      </w:tr>
      <w:tr w:rsidR="00D54306" w:rsidRPr="00D54306" w14:paraId="4D929443" w14:textId="77777777" w:rsidTr="00981375">
        <w:trPr>
          <w:jc w:val="center"/>
        </w:trPr>
        <w:tc>
          <w:tcPr>
            <w:tcW w:w="3823" w:type="dxa"/>
            <w:vMerge w:val="restart"/>
            <w:vAlign w:val="center"/>
          </w:tcPr>
          <w:p w14:paraId="59451231" w14:textId="77777777" w:rsidR="00D54306" w:rsidRPr="00D54306" w:rsidRDefault="00D54306" w:rsidP="00D54306">
            <w:pPr>
              <w:jc w:val="center"/>
              <w:rPr>
                <w:b/>
                <w:bCs/>
                <w:noProof w:val="0"/>
              </w:rPr>
            </w:pPr>
            <w:r w:rsidRPr="00D54306">
              <w:rPr>
                <w:b/>
                <w:bCs/>
                <w:noProof w:val="0"/>
              </w:rPr>
              <w:t>Opći dio financijskog plana</w:t>
            </w:r>
          </w:p>
        </w:tc>
        <w:tc>
          <w:tcPr>
            <w:tcW w:w="3543" w:type="dxa"/>
          </w:tcPr>
          <w:p w14:paraId="49D7C142" w14:textId="77777777" w:rsidR="00D54306" w:rsidRPr="00D54306" w:rsidRDefault="00D54306" w:rsidP="00D54306">
            <w:pPr>
              <w:jc w:val="both"/>
              <w:rPr>
                <w:noProof w:val="0"/>
              </w:rPr>
            </w:pPr>
            <w:r w:rsidRPr="00D54306">
              <w:rPr>
                <w:noProof w:val="0"/>
              </w:rPr>
              <w:t>Sažetak Računa prihoda i rashoda</w:t>
            </w:r>
          </w:p>
          <w:p w14:paraId="751DEA8C" w14:textId="77777777" w:rsidR="00D54306" w:rsidRPr="00D54306" w:rsidRDefault="00D54306" w:rsidP="00D54306">
            <w:pPr>
              <w:jc w:val="both"/>
              <w:rPr>
                <w:noProof w:val="0"/>
              </w:rPr>
            </w:pPr>
            <w:r w:rsidRPr="00D54306">
              <w:rPr>
                <w:noProof w:val="0"/>
              </w:rPr>
              <w:t>Sažetak Računa financiranja</w:t>
            </w:r>
          </w:p>
        </w:tc>
        <w:tc>
          <w:tcPr>
            <w:tcW w:w="7420" w:type="dxa"/>
          </w:tcPr>
          <w:p w14:paraId="17BBFA71" w14:textId="77777777" w:rsidR="00D54306" w:rsidRPr="00D54306" w:rsidRDefault="00D54306" w:rsidP="00D54306">
            <w:pPr>
              <w:jc w:val="both"/>
              <w:rPr>
                <w:noProof w:val="0"/>
              </w:rPr>
            </w:pPr>
            <w:r w:rsidRPr="00D54306">
              <w:rPr>
                <w:noProof w:val="0"/>
              </w:rPr>
              <w:t>- ukupni prihodi poslovanja i prihodi od prodaje nefinancijske imovine, ukupni rashodi poslovanja i rashodi za nabavu nefinancijske imovine</w:t>
            </w:r>
          </w:p>
          <w:p w14:paraId="21838503" w14:textId="77777777" w:rsidR="00D54306" w:rsidRPr="00D54306" w:rsidRDefault="00D54306" w:rsidP="00D54306">
            <w:pPr>
              <w:jc w:val="both"/>
              <w:rPr>
                <w:noProof w:val="0"/>
              </w:rPr>
            </w:pPr>
            <w:r w:rsidRPr="00D54306">
              <w:rPr>
                <w:noProof w:val="0"/>
              </w:rPr>
              <w:t>- ukupni primici od financijske imovine i zaduživanja i izdaci za financijsku imovinu i otplate zajmova</w:t>
            </w:r>
          </w:p>
        </w:tc>
      </w:tr>
      <w:tr w:rsidR="00D54306" w:rsidRPr="00D54306" w14:paraId="244F3B69" w14:textId="77777777" w:rsidTr="00981375">
        <w:trPr>
          <w:jc w:val="center"/>
        </w:trPr>
        <w:tc>
          <w:tcPr>
            <w:tcW w:w="3823" w:type="dxa"/>
            <w:vMerge/>
            <w:vAlign w:val="center"/>
          </w:tcPr>
          <w:p w14:paraId="0B4EB5D2" w14:textId="77777777" w:rsidR="00D54306" w:rsidRPr="00D54306" w:rsidRDefault="00D54306" w:rsidP="00D54306">
            <w:pPr>
              <w:jc w:val="center"/>
              <w:rPr>
                <w:b/>
                <w:bCs/>
                <w:noProof w:val="0"/>
              </w:rPr>
            </w:pPr>
          </w:p>
        </w:tc>
        <w:tc>
          <w:tcPr>
            <w:tcW w:w="3543" w:type="dxa"/>
          </w:tcPr>
          <w:p w14:paraId="65A1E6D8" w14:textId="77777777" w:rsidR="00D54306" w:rsidRPr="00D54306" w:rsidRDefault="00D54306" w:rsidP="00D54306">
            <w:pPr>
              <w:jc w:val="both"/>
              <w:rPr>
                <w:noProof w:val="0"/>
              </w:rPr>
            </w:pPr>
            <w:r w:rsidRPr="00D54306">
              <w:rPr>
                <w:noProof w:val="0"/>
              </w:rPr>
              <w:t>Račun prihoda i rashoda</w:t>
            </w:r>
          </w:p>
        </w:tc>
        <w:tc>
          <w:tcPr>
            <w:tcW w:w="7420" w:type="dxa"/>
          </w:tcPr>
          <w:p w14:paraId="0F21D718" w14:textId="77777777" w:rsidR="00D54306" w:rsidRPr="00D54306" w:rsidRDefault="00D54306" w:rsidP="00D54306">
            <w:pPr>
              <w:jc w:val="both"/>
              <w:rPr>
                <w:noProof w:val="0"/>
              </w:rPr>
            </w:pPr>
            <w:r w:rsidRPr="00D54306">
              <w:rPr>
                <w:noProof w:val="0"/>
              </w:rPr>
              <w:t>- ukupni prihodi i rashodi iskazani prema izvorima financiranja i ekonomskoj klasifikaciji na razini skupine</w:t>
            </w:r>
          </w:p>
          <w:p w14:paraId="20457968" w14:textId="77777777" w:rsidR="00D54306" w:rsidRPr="00D54306" w:rsidRDefault="00D54306" w:rsidP="00D54306">
            <w:pPr>
              <w:jc w:val="both"/>
              <w:rPr>
                <w:noProof w:val="0"/>
              </w:rPr>
            </w:pPr>
            <w:r w:rsidRPr="00D54306">
              <w:rPr>
                <w:noProof w:val="0"/>
              </w:rPr>
              <w:t>- ukupni rashodi iskazani prema funkcijskoj klasifikaciji</w:t>
            </w:r>
          </w:p>
        </w:tc>
      </w:tr>
      <w:tr w:rsidR="00D54306" w:rsidRPr="00D54306" w14:paraId="4472B88F" w14:textId="77777777" w:rsidTr="00981375">
        <w:trPr>
          <w:jc w:val="center"/>
        </w:trPr>
        <w:tc>
          <w:tcPr>
            <w:tcW w:w="3823" w:type="dxa"/>
            <w:vMerge/>
            <w:vAlign w:val="center"/>
          </w:tcPr>
          <w:p w14:paraId="0EA70091" w14:textId="77777777" w:rsidR="00D54306" w:rsidRPr="00D54306" w:rsidRDefault="00D54306" w:rsidP="00D54306">
            <w:pPr>
              <w:jc w:val="center"/>
              <w:rPr>
                <w:b/>
                <w:bCs/>
                <w:noProof w:val="0"/>
              </w:rPr>
            </w:pPr>
          </w:p>
        </w:tc>
        <w:tc>
          <w:tcPr>
            <w:tcW w:w="3543" w:type="dxa"/>
          </w:tcPr>
          <w:p w14:paraId="37CD70DA" w14:textId="77777777" w:rsidR="00D54306" w:rsidRPr="00D54306" w:rsidRDefault="00D54306" w:rsidP="00D54306">
            <w:pPr>
              <w:jc w:val="both"/>
              <w:rPr>
                <w:noProof w:val="0"/>
              </w:rPr>
            </w:pPr>
            <w:r w:rsidRPr="00D54306">
              <w:rPr>
                <w:noProof w:val="0"/>
              </w:rPr>
              <w:t>Račun financiranja</w:t>
            </w:r>
          </w:p>
        </w:tc>
        <w:tc>
          <w:tcPr>
            <w:tcW w:w="7420" w:type="dxa"/>
          </w:tcPr>
          <w:p w14:paraId="5F6F1B2F" w14:textId="77777777" w:rsidR="00D54306" w:rsidRPr="00D54306" w:rsidRDefault="00D54306" w:rsidP="00D54306">
            <w:pPr>
              <w:jc w:val="both"/>
              <w:rPr>
                <w:noProof w:val="0"/>
              </w:rPr>
            </w:pPr>
            <w:r w:rsidRPr="00D54306">
              <w:rPr>
                <w:noProof w:val="0"/>
              </w:rPr>
              <w:t>- ukupni primici od financijske imovine i zaduživanja i izdaci za financijsku imovinu i otplate instrumenata zaduživanja prema izvorima financiranja i ekonomskoj klasifikaciji na razini skupine</w:t>
            </w:r>
          </w:p>
        </w:tc>
      </w:tr>
      <w:tr w:rsidR="00D54306" w:rsidRPr="00D54306" w14:paraId="25908E01" w14:textId="77777777" w:rsidTr="00981375">
        <w:trPr>
          <w:jc w:val="center"/>
        </w:trPr>
        <w:tc>
          <w:tcPr>
            <w:tcW w:w="3823" w:type="dxa"/>
            <w:vMerge/>
            <w:vAlign w:val="center"/>
          </w:tcPr>
          <w:p w14:paraId="001F21AA" w14:textId="77777777" w:rsidR="00D54306" w:rsidRPr="00D54306" w:rsidRDefault="00D54306" w:rsidP="00D54306">
            <w:pPr>
              <w:jc w:val="center"/>
              <w:rPr>
                <w:b/>
                <w:bCs/>
                <w:noProof w:val="0"/>
              </w:rPr>
            </w:pPr>
          </w:p>
        </w:tc>
        <w:tc>
          <w:tcPr>
            <w:tcW w:w="3543" w:type="dxa"/>
          </w:tcPr>
          <w:p w14:paraId="455B36D2" w14:textId="77777777" w:rsidR="00D54306" w:rsidRPr="00D54306" w:rsidRDefault="00D54306" w:rsidP="00D54306">
            <w:pPr>
              <w:jc w:val="both"/>
              <w:rPr>
                <w:noProof w:val="0"/>
              </w:rPr>
            </w:pPr>
            <w:r w:rsidRPr="00D54306">
              <w:rPr>
                <w:noProof w:val="0"/>
              </w:rPr>
              <w:t>Preneseni višak ili preneseni manjak prihoda nad rashodima</w:t>
            </w:r>
          </w:p>
        </w:tc>
        <w:tc>
          <w:tcPr>
            <w:tcW w:w="7420" w:type="dxa"/>
          </w:tcPr>
          <w:p w14:paraId="5752FBBE" w14:textId="77777777" w:rsidR="00D54306" w:rsidRPr="00D54306" w:rsidRDefault="00D54306" w:rsidP="00D54306">
            <w:pPr>
              <w:jc w:val="both"/>
              <w:rPr>
                <w:noProof w:val="0"/>
              </w:rPr>
            </w:pPr>
            <w:r w:rsidRPr="00D54306">
              <w:rPr>
                <w:noProof w:val="0"/>
              </w:rPr>
              <w:t>- ako ukupni prihodi i primici nisu jednaki ukupnim rashodima i izdacima, financijski plan sadrži i preneseni višak ili preneseni manjak prihoda nad rashodima</w:t>
            </w:r>
          </w:p>
        </w:tc>
      </w:tr>
      <w:tr w:rsidR="00D54306" w:rsidRPr="00D54306" w14:paraId="756EDD0E" w14:textId="77777777" w:rsidTr="00981375">
        <w:trPr>
          <w:jc w:val="center"/>
        </w:trPr>
        <w:tc>
          <w:tcPr>
            <w:tcW w:w="3823" w:type="dxa"/>
            <w:vMerge/>
            <w:vAlign w:val="center"/>
          </w:tcPr>
          <w:p w14:paraId="35A47802" w14:textId="77777777" w:rsidR="00D54306" w:rsidRPr="00D54306" w:rsidRDefault="00D54306" w:rsidP="00D54306">
            <w:pPr>
              <w:jc w:val="center"/>
              <w:rPr>
                <w:b/>
                <w:bCs/>
                <w:noProof w:val="0"/>
              </w:rPr>
            </w:pPr>
          </w:p>
        </w:tc>
        <w:tc>
          <w:tcPr>
            <w:tcW w:w="3543" w:type="dxa"/>
          </w:tcPr>
          <w:p w14:paraId="019CAEAF" w14:textId="77777777" w:rsidR="00D54306" w:rsidRPr="00D54306" w:rsidRDefault="00D54306" w:rsidP="00D54306">
            <w:pPr>
              <w:jc w:val="both"/>
              <w:rPr>
                <w:noProof w:val="0"/>
              </w:rPr>
            </w:pPr>
            <w:r w:rsidRPr="00D54306">
              <w:rPr>
                <w:noProof w:val="0"/>
              </w:rPr>
              <w:t>Višegodišnji plan uravnoteženja</w:t>
            </w:r>
          </w:p>
        </w:tc>
        <w:tc>
          <w:tcPr>
            <w:tcW w:w="7420" w:type="dxa"/>
          </w:tcPr>
          <w:p w14:paraId="72E62DC3" w14:textId="77777777" w:rsidR="00D54306" w:rsidRPr="00D54306" w:rsidRDefault="00D54306" w:rsidP="00D54306">
            <w:pPr>
              <w:jc w:val="both"/>
              <w:rPr>
                <w:noProof w:val="0"/>
              </w:rPr>
            </w:pPr>
            <w:r w:rsidRPr="00D54306">
              <w:rPr>
                <w:noProof w:val="0"/>
              </w:rPr>
              <w:t>- ako proračunski korisnici ne mogu preneseni manjak podmiriti do kraja proračunske godine, obvezni su izraditi višegodišnji plan uravnoteženja za razdoblje za koje se financijski plan donosi</w:t>
            </w:r>
          </w:p>
          <w:p w14:paraId="037688E8" w14:textId="77777777" w:rsidR="00D54306" w:rsidRPr="00D54306" w:rsidRDefault="00D54306" w:rsidP="00D54306">
            <w:pPr>
              <w:jc w:val="both"/>
              <w:rPr>
                <w:noProof w:val="0"/>
              </w:rPr>
            </w:pPr>
            <w:r w:rsidRPr="00D54306">
              <w:rPr>
                <w:noProof w:val="0"/>
              </w:rPr>
              <w:t>- ako proračunski korisnici ne mogu preneseni višak, zbog njegove veličine, u cijelosti iskoristiti u jednoj proračunskoj godini, korištenje viška planira se višegodišnjim planom uravnoteženja za razdoblje za koje se financijski plan donosi</w:t>
            </w:r>
          </w:p>
        </w:tc>
      </w:tr>
      <w:tr w:rsidR="00D54306" w:rsidRPr="00D54306" w14:paraId="130E9495" w14:textId="77777777" w:rsidTr="00981375">
        <w:trPr>
          <w:jc w:val="center"/>
        </w:trPr>
        <w:tc>
          <w:tcPr>
            <w:tcW w:w="3823" w:type="dxa"/>
            <w:vAlign w:val="center"/>
          </w:tcPr>
          <w:p w14:paraId="39236BCE" w14:textId="77777777" w:rsidR="00D54306" w:rsidRPr="00D54306" w:rsidRDefault="00D54306" w:rsidP="00D54306">
            <w:pPr>
              <w:jc w:val="center"/>
              <w:rPr>
                <w:b/>
                <w:bCs/>
                <w:noProof w:val="0"/>
              </w:rPr>
            </w:pPr>
            <w:r w:rsidRPr="00D54306">
              <w:rPr>
                <w:b/>
                <w:bCs/>
                <w:noProof w:val="0"/>
              </w:rPr>
              <w:t>Posebni dio financijskog plana</w:t>
            </w:r>
          </w:p>
        </w:tc>
        <w:tc>
          <w:tcPr>
            <w:tcW w:w="3543" w:type="dxa"/>
          </w:tcPr>
          <w:p w14:paraId="1EEB9248" w14:textId="77777777" w:rsidR="00D54306" w:rsidRPr="00D54306" w:rsidRDefault="00D54306" w:rsidP="00D54306">
            <w:pPr>
              <w:jc w:val="both"/>
              <w:rPr>
                <w:noProof w:val="0"/>
              </w:rPr>
            </w:pPr>
            <w:r w:rsidRPr="00D54306">
              <w:rPr>
                <w:noProof w:val="0"/>
              </w:rPr>
              <w:t>Plan rashoda i izdataka proračunskih korisnika</w:t>
            </w:r>
          </w:p>
        </w:tc>
        <w:tc>
          <w:tcPr>
            <w:tcW w:w="7420" w:type="dxa"/>
          </w:tcPr>
          <w:p w14:paraId="4E57A2D5" w14:textId="77777777" w:rsidR="00D54306" w:rsidRPr="00D54306" w:rsidRDefault="00D54306" w:rsidP="00D54306">
            <w:pPr>
              <w:jc w:val="both"/>
              <w:rPr>
                <w:noProof w:val="0"/>
              </w:rPr>
            </w:pPr>
            <w:r w:rsidRPr="00D54306">
              <w:rPr>
                <w:noProof w:val="0"/>
              </w:rPr>
              <w:t>- rashodi i izdaci iskazani po izvorima financiranja i ekonomskoj klasifikaciji na razini skupine, raspoređeni u programe koji se sastoje od aktivnosti i projekata</w:t>
            </w:r>
          </w:p>
        </w:tc>
      </w:tr>
      <w:tr w:rsidR="00D54306" w:rsidRPr="00D54306" w14:paraId="06295F23" w14:textId="77777777" w:rsidTr="00981375">
        <w:trPr>
          <w:jc w:val="center"/>
        </w:trPr>
        <w:tc>
          <w:tcPr>
            <w:tcW w:w="3823" w:type="dxa"/>
            <w:vAlign w:val="center"/>
          </w:tcPr>
          <w:p w14:paraId="3166CB62" w14:textId="77777777" w:rsidR="00D54306" w:rsidRPr="00D54306" w:rsidRDefault="00D54306" w:rsidP="00D54306">
            <w:pPr>
              <w:jc w:val="center"/>
              <w:rPr>
                <w:b/>
                <w:bCs/>
                <w:noProof w:val="0"/>
              </w:rPr>
            </w:pPr>
            <w:r w:rsidRPr="00D54306">
              <w:rPr>
                <w:b/>
                <w:bCs/>
                <w:noProof w:val="0"/>
              </w:rPr>
              <w:t>Obrazloženje financijskog plana</w:t>
            </w:r>
          </w:p>
        </w:tc>
        <w:tc>
          <w:tcPr>
            <w:tcW w:w="3543" w:type="dxa"/>
          </w:tcPr>
          <w:p w14:paraId="4F952B5E" w14:textId="77777777" w:rsidR="00D54306" w:rsidRPr="00D54306" w:rsidRDefault="00D54306" w:rsidP="00D54306">
            <w:pPr>
              <w:jc w:val="both"/>
              <w:rPr>
                <w:noProof w:val="0"/>
              </w:rPr>
            </w:pPr>
            <w:r w:rsidRPr="00D54306">
              <w:rPr>
                <w:noProof w:val="0"/>
              </w:rPr>
              <w:t>Obrazloženje općeg dijela financijskog plana i obrazloženje posebnog dijela financijskog plana</w:t>
            </w:r>
          </w:p>
        </w:tc>
        <w:tc>
          <w:tcPr>
            <w:tcW w:w="7420" w:type="dxa"/>
          </w:tcPr>
          <w:p w14:paraId="28AD9AE7" w14:textId="77777777" w:rsidR="00D54306" w:rsidRPr="00D54306" w:rsidRDefault="00D54306" w:rsidP="00D54306">
            <w:pPr>
              <w:jc w:val="both"/>
              <w:rPr>
                <w:noProof w:val="0"/>
              </w:rPr>
            </w:pPr>
            <w:r w:rsidRPr="00D54306">
              <w:rPr>
                <w:noProof w:val="0"/>
              </w:rPr>
              <w:t>- obrazloženje općeg dijela financijskog plana sadrži obrazloženje prihoda i rashoda, primitaka i izdataka te obrazloženje prenesenog manjka odnosno viška financijskog plana</w:t>
            </w:r>
          </w:p>
          <w:p w14:paraId="271C5D05" w14:textId="77777777" w:rsidR="00D54306" w:rsidRPr="00D54306" w:rsidRDefault="00D54306" w:rsidP="00D54306">
            <w:pPr>
              <w:jc w:val="both"/>
              <w:rPr>
                <w:noProof w:val="0"/>
              </w:rPr>
            </w:pPr>
            <w:r w:rsidRPr="00D54306">
              <w:rPr>
                <w:noProof w:val="0"/>
              </w:rPr>
              <w:t>- obrazloženje posebnog dijela financijskog plana sastoji se od obrazloženja programa koje se daje kroz obrazloženje aktivnosti i projekata zajedno s ciljevima i pokazateljima uspješnosti iz akata strateškog planiranja i godišnjeg plana rada</w:t>
            </w:r>
          </w:p>
        </w:tc>
      </w:tr>
    </w:tbl>
    <w:p w14:paraId="7C337EC7" w14:textId="77777777" w:rsidR="00D54306" w:rsidRPr="00D54306" w:rsidRDefault="00D54306" w:rsidP="00D54306">
      <w:pPr>
        <w:jc w:val="both"/>
        <w:rPr>
          <w:rFonts w:ascii="Times New Roman" w:eastAsia="Times New Roman" w:hAnsi="Times New Roman" w:cs="Times New Roman"/>
          <w:b/>
          <w:bCs/>
          <w:noProof w:val="0"/>
          <w:sz w:val="24"/>
          <w:szCs w:val="24"/>
          <w:lang w:eastAsia="hr-HR"/>
        </w:rPr>
        <w:sectPr w:rsidR="00D54306" w:rsidRPr="00D54306" w:rsidSect="001015EC">
          <w:footerReference w:type="default" r:id="rId11"/>
          <w:pgSz w:w="11906" w:h="16838"/>
          <w:pgMar w:top="1021" w:right="1418" w:bottom="1021" w:left="1418" w:header="709" w:footer="709" w:gutter="0"/>
          <w:cols w:space="708"/>
          <w:docGrid w:linePitch="360"/>
        </w:sectPr>
      </w:pPr>
      <w:r w:rsidRPr="00D54306">
        <w:rPr>
          <w:rFonts w:ascii="Times New Roman" w:eastAsia="Times New Roman" w:hAnsi="Times New Roman" w:cs="Times New Roman"/>
          <w:b/>
          <w:bCs/>
          <w:noProof w:val="0"/>
          <w:sz w:val="24"/>
          <w:szCs w:val="24"/>
          <w:lang w:eastAsia="hr-HR"/>
        </w:rPr>
        <w:tab/>
      </w:r>
    </w:p>
    <w:p w14:paraId="5E9399EB" w14:textId="77777777" w:rsidR="00D54306" w:rsidRPr="00D54306" w:rsidRDefault="00D54306" w:rsidP="00D54306">
      <w:pPr>
        <w:ind w:firstLine="360"/>
        <w:jc w:val="both"/>
        <w:rPr>
          <w:rFonts w:ascii="Times New Roman" w:eastAsia="Times New Roman" w:hAnsi="Times New Roman" w:cs="Times New Roman"/>
          <w:b/>
          <w:bCs/>
          <w:noProof w:val="0"/>
          <w:lang w:eastAsia="hr-HR"/>
        </w:rPr>
      </w:pPr>
      <w:r w:rsidRPr="00D54306">
        <w:rPr>
          <w:rFonts w:ascii="Times New Roman" w:eastAsia="Times New Roman" w:hAnsi="Times New Roman" w:cs="Times New Roman"/>
          <w:b/>
          <w:bCs/>
          <w:noProof w:val="0"/>
          <w:lang w:eastAsia="hr-HR"/>
        </w:rPr>
        <w:lastRenderedPageBreak/>
        <w:t>Prilikom izrade obrazloženja naglasak je potrebno staviti na ciljeve koji se programima namjeravaju postići i pokazatelje uspješnosti realizacije tih ciljeva.</w:t>
      </w:r>
    </w:p>
    <w:p w14:paraId="5F84AF80" w14:textId="77777777" w:rsidR="00D54306" w:rsidRPr="00D54306" w:rsidRDefault="00D54306" w:rsidP="00D54306">
      <w:pPr>
        <w:ind w:firstLine="360"/>
        <w:jc w:val="both"/>
        <w:rPr>
          <w:rFonts w:ascii="Times New Roman" w:eastAsia="Times New Roman" w:hAnsi="Times New Roman" w:cs="Times New Roman"/>
          <w:b/>
          <w:bCs/>
          <w:noProof w:val="0"/>
          <w:lang w:eastAsia="hr-HR"/>
        </w:rPr>
      </w:pPr>
    </w:p>
    <w:p w14:paraId="004DA742" w14:textId="77777777" w:rsidR="00D54306" w:rsidRPr="00D54306" w:rsidRDefault="00D54306" w:rsidP="00D54306">
      <w:pPr>
        <w:ind w:firstLine="360"/>
        <w:jc w:val="both"/>
        <w:rPr>
          <w:rFonts w:ascii="Times New Roman" w:eastAsia="Times New Roman" w:hAnsi="Times New Roman" w:cs="Times New Roman"/>
          <w:bCs/>
          <w:noProof w:val="0"/>
          <w:lang w:eastAsia="hr-HR"/>
        </w:rPr>
      </w:pPr>
      <w:r w:rsidRPr="00D54306">
        <w:rPr>
          <w:rFonts w:ascii="Times New Roman" w:eastAsia="Times New Roman" w:hAnsi="Times New Roman" w:cs="Times New Roman"/>
          <w:bCs/>
          <w:noProof w:val="0"/>
          <w:lang w:eastAsia="hr-HR"/>
        </w:rPr>
        <w:t>Proračunski korisnici u financijskom planu trebaju iskazati sve svoje prihode i rashode bez obzira na moguće uplate dijela prihoda korisnika u proračun jedinice lokalne i područne (regionalne) samouprave ili podmirivanje dijela rashoda korisnika izravno s računa Proračuna.</w:t>
      </w:r>
    </w:p>
    <w:p w14:paraId="3E1635B7" w14:textId="77777777" w:rsidR="00D54306" w:rsidRPr="00D54306" w:rsidRDefault="00D54306" w:rsidP="00D54306">
      <w:pPr>
        <w:ind w:firstLine="360"/>
        <w:jc w:val="both"/>
        <w:rPr>
          <w:rFonts w:ascii="Times New Roman" w:eastAsia="Times New Roman" w:hAnsi="Times New Roman" w:cs="Times New Roman"/>
          <w:bCs/>
          <w:noProof w:val="0"/>
          <w:lang w:eastAsia="hr-HR"/>
        </w:rPr>
      </w:pPr>
    </w:p>
    <w:p w14:paraId="751783CC" w14:textId="77777777" w:rsidR="00D54306" w:rsidRPr="00D54306" w:rsidRDefault="00D54306" w:rsidP="00D54306">
      <w:pPr>
        <w:ind w:firstLine="357"/>
        <w:jc w:val="both"/>
        <w:rPr>
          <w:rFonts w:ascii="Times New Roman" w:eastAsia="Times New Roman" w:hAnsi="Times New Roman" w:cs="Times New Roman"/>
          <w:bCs/>
          <w:noProof w:val="0"/>
          <w:lang w:eastAsia="hr-HR"/>
        </w:rPr>
      </w:pPr>
      <w:r w:rsidRPr="00D54306">
        <w:rPr>
          <w:rFonts w:ascii="Times New Roman" w:eastAsia="Times New Roman" w:hAnsi="Times New Roman" w:cs="Times New Roman"/>
          <w:noProof w:val="0"/>
          <w:lang w:eastAsia="hr-HR"/>
        </w:rPr>
        <w:t xml:space="preserve">Financijski plan proračunskih korisnika treba biti uravnotežen. </w:t>
      </w:r>
      <w:r w:rsidRPr="00D54306">
        <w:rPr>
          <w:rFonts w:ascii="Times New Roman" w:eastAsia="Times New Roman" w:hAnsi="Times New Roman" w:cs="Times New Roman"/>
          <w:bCs/>
          <w:noProof w:val="0"/>
          <w:lang w:eastAsia="hr-HR"/>
        </w:rPr>
        <w:t>Izuzev prihoda i rashoda potrebno je u plan uključiti i predviđeni manjak, odnosno višak prihoda te s navedenim bilančnim kategorijama postići uravnoteženje.</w:t>
      </w:r>
    </w:p>
    <w:p w14:paraId="22281AED" w14:textId="77777777" w:rsidR="00D54306" w:rsidRPr="00D54306" w:rsidRDefault="00D54306" w:rsidP="00D54306">
      <w:pPr>
        <w:ind w:firstLine="357"/>
        <w:jc w:val="both"/>
        <w:rPr>
          <w:rFonts w:ascii="Times New Roman" w:eastAsia="Times New Roman" w:hAnsi="Times New Roman" w:cs="Times New Roman"/>
          <w:bCs/>
          <w:noProof w:val="0"/>
          <w:lang w:eastAsia="hr-HR"/>
        </w:rPr>
      </w:pPr>
    </w:p>
    <w:p w14:paraId="779DCCA3" w14:textId="77777777" w:rsidR="00D54306" w:rsidRPr="00D54306" w:rsidRDefault="00D54306" w:rsidP="00D54306">
      <w:pPr>
        <w:ind w:firstLine="357"/>
        <w:jc w:val="both"/>
        <w:rPr>
          <w:rFonts w:ascii="Times New Roman" w:eastAsia="Times New Roman" w:hAnsi="Times New Roman" w:cs="Times New Roman"/>
          <w:bCs/>
          <w:noProof w:val="0"/>
          <w:lang w:eastAsia="hr-HR"/>
        </w:rPr>
      </w:pPr>
      <w:r w:rsidRPr="00D54306">
        <w:rPr>
          <w:rFonts w:ascii="Times New Roman" w:eastAsia="Times New Roman" w:hAnsi="Times New Roman" w:cs="Times New Roman"/>
          <w:bCs/>
          <w:noProof w:val="0"/>
          <w:lang w:eastAsia="hr-HR"/>
        </w:rPr>
        <w:t>Financijski plan koji uključuje isključivo plan prihoda i rashoda bez rezultata poslovanja ne pruža cjelovit financijski okvir za donošenje odluka o budućoj potrošnji i izvorima financiranja. Evidentno je da izvori financiranja poslovanja korisnika nisu isključivo prihodi tekuće godine, već i viškovi iz prethodnih godina.</w:t>
      </w:r>
    </w:p>
    <w:p w14:paraId="7BC0818C" w14:textId="77777777" w:rsidR="00D54306" w:rsidRPr="00D54306" w:rsidRDefault="00D54306" w:rsidP="00D54306">
      <w:pPr>
        <w:ind w:firstLine="357"/>
        <w:jc w:val="both"/>
        <w:rPr>
          <w:rFonts w:ascii="Times New Roman" w:eastAsia="Times New Roman" w:hAnsi="Times New Roman" w:cs="Times New Roman"/>
          <w:bCs/>
          <w:noProof w:val="0"/>
          <w:lang w:eastAsia="hr-HR"/>
        </w:rPr>
      </w:pPr>
      <w:r w:rsidRPr="00D54306">
        <w:rPr>
          <w:rFonts w:ascii="Times New Roman" w:eastAsia="Times New Roman" w:hAnsi="Times New Roman" w:cs="Times New Roman"/>
          <w:bCs/>
          <w:noProof w:val="0"/>
          <w:lang w:eastAsia="hr-HR"/>
        </w:rPr>
        <w:t xml:space="preserve"> </w:t>
      </w:r>
    </w:p>
    <w:p w14:paraId="2336CD46" w14:textId="77777777" w:rsidR="00D54306" w:rsidRPr="00D54306" w:rsidRDefault="00D54306" w:rsidP="00D54306">
      <w:pPr>
        <w:ind w:firstLine="357"/>
        <w:jc w:val="both"/>
        <w:rPr>
          <w:rFonts w:ascii="Times New Roman" w:eastAsia="Times New Roman" w:hAnsi="Times New Roman" w:cs="Times New Roman"/>
          <w:bCs/>
          <w:noProof w:val="0"/>
          <w:lang w:eastAsia="hr-HR"/>
        </w:rPr>
      </w:pPr>
      <w:r w:rsidRPr="00D54306">
        <w:rPr>
          <w:rFonts w:ascii="Times New Roman" w:eastAsia="Times New Roman" w:hAnsi="Times New Roman" w:cs="Times New Roman"/>
          <w:bCs/>
          <w:noProof w:val="0"/>
          <w:lang w:eastAsia="hr-HR"/>
        </w:rPr>
        <w:t xml:space="preserve">Proračunski korisnici koji posluju s manjkom trebaju kroz financijski plan pokazati korekcije poslovnih odluka iz kojih su manjkovi proizašli i pronaći načine za njihovo pokriće. </w:t>
      </w:r>
    </w:p>
    <w:p w14:paraId="086DC230" w14:textId="77777777" w:rsidR="00D54306" w:rsidRPr="00D54306" w:rsidRDefault="00D54306" w:rsidP="00D54306">
      <w:pPr>
        <w:ind w:firstLine="357"/>
        <w:jc w:val="both"/>
        <w:rPr>
          <w:rFonts w:ascii="Times New Roman" w:eastAsia="Times New Roman" w:hAnsi="Times New Roman" w:cs="Times New Roman"/>
          <w:bCs/>
          <w:noProof w:val="0"/>
          <w:lang w:eastAsia="hr-HR"/>
        </w:rPr>
      </w:pPr>
    </w:p>
    <w:p w14:paraId="75BF510C" w14:textId="77777777" w:rsidR="00D54306" w:rsidRPr="00D54306" w:rsidRDefault="00D54306" w:rsidP="00D54306">
      <w:pPr>
        <w:ind w:firstLine="357"/>
        <w:jc w:val="both"/>
        <w:rPr>
          <w:rFonts w:ascii="Times New Roman" w:eastAsia="Times New Roman" w:hAnsi="Times New Roman" w:cs="Times New Roman"/>
          <w:bCs/>
          <w:noProof w:val="0"/>
          <w:lang w:eastAsia="hr-HR"/>
        </w:rPr>
      </w:pPr>
      <w:r w:rsidRPr="00D54306">
        <w:rPr>
          <w:rFonts w:ascii="Times New Roman" w:eastAsia="Times New Roman" w:hAnsi="Times New Roman" w:cs="Times New Roman"/>
          <w:bCs/>
          <w:noProof w:val="0"/>
          <w:lang w:eastAsia="hr-HR"/>
        </w:rPr>
        <w:t xml:space="preserve">Manjkovi se mogu pokriti ili na teret novih izvora financiranja, odnosno rasta prihoda ili smanjenjem ukupne rashodovne strane u visini nastalih manjkova.  </w:t>
      </w:r>
    </w:p>
    <w:p w14:paraId="4795409B" w14:textId="77777777" w:rsidR="00D54306" w:rsidRPr="00D54306" w:rsidRDefault="00D54306" w:rsidP="00D54306">
      <w:pPr>
        <w:ind w:firstLine="357"/>
        <w:jc w:val="both"/>
        <w:rPr>
          <w:rFonts w:ascii="Times New Roman" w:eastAsia="Times New Roman" w:hAnsi="Times New Roman" w:cs="Times New Roman"/>
          <w:bCs/>
          <w:noProof w:val="0"/>
          <w:lang w:eastAsia="hr-HR"/>
        </w:rPr>
      </w:pPr>
    </w:p>
    <w:p w14:paraId="43DC4EE7" w14:textId="77777777" w:rsidR="00D54306" w:rsidRPr="00D54306" w:rsidRDefault="00D54306" w:rsidP="00D54306">
      <w:pPr>
        <w:ind w:firstLine="357"/>
        <w:jc w:val="both"/>
        <w:rPr>
          <w:rFonts w:ascii="Times New Roman" w:eastAsia="Times New Roman" w:hAnsi="Times New Roman" w:cs="Times New Roman"/>
          <w:b/>
          <w:i/>
          <w:noProof w:val="0"/>
          <w:lang w:eastAsia="hr-HR"/>
        </w:rPr>
      </w:pPr>
      <w:r w:rsidRPr="00D54306">
        <w:rPr>
          <w:rFonts w:ascii="Times New Roman" w:eastAsia="Times New Roman" w:hAnsi="Times New Roman" w:cs="Times New Roman"/>
          <w:b/>
          <w:i/>
          <w:noProof w:val="0"/>
          <w:lang w:eastAsia="hr-HR"/>
        </w:rPr>
        <w:t>Općina i proračunski korisnici za svoje će potrebe izraditi proračun i financijske planove na detaljnoj razini ekonomske klasifikacije (5. razina). Međutim, Općinskom vijeću na usvajanje Proračun će se podnijeti isključivo na razini skupine (druga razina računskog plana) ekonomske klasifikacije.</w:t>
      </w:r>
    </w:p>
    <w:p w14:paraId="75CBD087" w14:textId="77777777" w:rsidR="00D54306" w:rsidRPr="00D54306" w:rsidRDefault="00D54306" w:rsidP="00D54306">
      <w:pPr>
        <w:ind w:firstLine="357"/>
        <w:jc w:val="both"/>
        <w:rPr>
          <w:rFonts w:ascii="Times New Roman" w:eastAsia="Times New Roman" w:hAnsi="Times New Roman" w:cs="Times New Roman"/>
          <w:b/>
          <w:i/>
          <w:noProof w:val="0"/>
          <w:lang w:eastAsia="hr-HR"/>
        </w:rPr>
      </w:pPr>
    </w:p>
    <w:p w14:paraId="270BB85D" w14:textId="77777777" w:rsidR="00D54306" w:rsidRPr="00D54306" w:rsidRDefault="00D54306" w:rsidP="00D54306">
      <w:pPr>
        <w:ind w:firstLine="357"/>
        <w:jc w:val="both"/>
        <w:rPr>
          <w:rFonts w:ascii="Times New Roman" w:eastAsia="Times New Roman" w:hAnsi="Times New Roman" w:cs="Times New Roman"/>
          <w:b/>
          <w:i/>
          <w:noProof w:val="0"/>
          <w:lang w:eastAsia="hr-HR"/>
        </w:rPr>
      </w:pPr>
      <w:r w:rsidRPr="00D54306">
        <w:rPr>
          <w:rFonts w:ascii="Times New Roman" w:eastAsia="Times New Roman" w:hAnsi="Times New Roman" w:cs="Times New Roman"/>
          <w:b/>
          <w:i/>
          <w:noProof w:val="0"/>
          <w:lang w:eastAsia="hr-HR"/>
        </w:rPr>
        <w:t xml:space="preserve">Projekcije za 2025. i 2026. godinu usvajaju se na razini skupine (druga razina računskog plana), a sve sukladno Zakonu o proračunu. </w:t>
      </w:r>
    </w:p>
    <w:p w14:paraId="07ACA23A" w14:textId="77777777" w:rsidR="00D54306" w:rsidRPr="00D54306" w:rsidRDefault="00D54306" w:rsidP="00D54306">
      <w:pPr>
        <w:rPr>
          <w:rFonts w:ascii="Times New Roman" w:eastAsia="Times New Roman" w:hAnsi="Times New Roman" w:cs="Times New Roman"/>
          <w:b/>
          <w:noProof w:val="0"/>
          <w:lang w:eastAsia="hr-HR"/>
        </w:rPr>
      </w:pPr>
    </w:p>
    <w:p w14:paraId="04D847C4" w14:textId="77777777" w:rsidR="00D54306" w:rsidRPr="00D54306" w:rsidRDefault="00D54306" w:rsidP="00D54306">
      <w:pPr>
        <w:ind w:firstLine="357"/>
        <w:jc w:val="both"/>
        <w:rPr>
          <w:rFonts w:ascii="Times New Roman" w:eastAsia="Times New Roman" w:hAnsi="Times New Roman" w:cs="Times New Roman"/>
          <w:b/>
          <w:i/>
          <w:noProof w:val="0"/>
          <w:lang w:eastAsia="hr-HR"/>
        </w:rPr>
      </w:pPr>
      <w:r w:rsidRPr="00D54306">
        <w:rPr>
          <w:rFonts w:ascii="Times New Roman" w:eastAsia="Times New Roman" w:hAnsi="Times New Roman" w:cs="Times New Roman"/>
          <w:b/>
          <w:i/>
          <w:noProof w:val="0"/>
          <w:lang w:eastAsia="hr-HR"/>
        </w:rPr>
        <w:t xml:space="preserve">Napominjemo kako uz standardnu ekonomsku klasifikaciju, proračunski korisnici trebaju u izradi financijskog plana primijeniti i programsku klasifikaciju i klasifikaciju po izvorima financiranja. </w:t>
      </w:r>
    </w:p>
    <w:p w14:paraId="7845E29F" w14:textId="77777777" w:rsidR="00D54306" w:rsidRPr="00D54306" w:rsidRDefault="00D54306" w:rsidP="00D54306">
      <w:pPr>
        <w:jc w:val="both"/>
        <w:rPr>
          <w:rFonts w:ascii="Times New Roman" w:eastAsia="Times New Roman" w:hAnsi="Times New Roman" w:cs="Times New Roman"/>
          <w:noProof w:val="0"/>
          <w:lang w:eastAsia="hr-HR"/>
        </w:rPr>
      </w:pPr>
    </w:p>
    <w:p w14:paraId="2C13E559"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Izvore financiranja čine skupine prihoda i primitaka iz kojih se podmiruju rashodi i izdaci određene vrste i utvrđene namjene. Prihodi i primici proračuna planiraju se te se raspoređuju i iskazuju prema izvorima iz kojih potječu. Rashodi i izdaci se planiraju, izvršavaju i računovodstveno prate prema izvorima financiranja. </w:t>
      </w:r>
    </w:p>
    <w:p w14:paraId="12525D47" w14:textId="77777777" w:rsidR="00D54306" w:rsidRPr="00D54306" w:rsidRDefault="00D54306" w:rsidP="00D54306">
      <w:pPr>
        <w:ind w:firstLine="357"/>
        <w:jc w:val="both"/>
        <w:rPr>
          <w:rFonts w:ascii="Times New Roman" w:eastAsia="Times New Roman" w:hAnsi="Times New Roman" w:cs="Times New Roman"/>
          <w:noProof w:val="0"/>
          <w:lang w:eastAsia="hr-HR"/>
        </w:rPr>
      </w:pPr>
    </w:p>
    <w:p w14:paraId="7CD12D61" w14:textId="77777777" w:rsidR="00D54306" w:rsidRPr="00D54306" w:rsidRDefault="00D54306" w:rsidP="00D54306">
      <w:pPr>
        <w:ind w:firstLine="357"/>
        <w:jc w:val="both"/>
        <w:rPr>
          <w:rFonts w:ascii="Times New Roman" w:eastAsia="Times New Roman" w:hAnsi="Times New Roman" w:cs="Times New Roman"/>
          <w:b/>
          <w:i/>
          <w:noProof w:val="0"/>
          <w:lang w:eastAsia="hr-HR"/>
        </w:rPr>
      </w:pPr>
      <w:r w:rsidRPr="00D54306">
        <w:rPr>
          <w:rFonts w:ascii="Times New Roman" w:eastAsia="Times New Roman" w:hAnsi="Times New Roman" w:cs="Times New Roman"/>
          <w:b/>
          <w:i/>
          <w:noProof w:val="0"/>
          <w:lang w:eastAsia="hr-HR"/>
        </w:rPr>
        <w:t>Što se tiče namjenskih prihoda i primitaka proračunskih korisnika Odlukom o izvršavanju proračuna Općine biti će propisano izuzeće od obveze uplate namjenskih prihoda i primitaka te vlastitih prihoda u Proračun samo za proračunskog korisnika: Dječji vrtić „ZEKO“, dok i na dalje vijeća nacionalnih manjina svoje poslovanje provode putem Proračuna Općine.</w:t>
      </w:r>
    </w:p>
    <w:p w14:paraId="7FC6D21A"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 </w:t>
      </w:r>
    </w:p>
    <w:p w14:paraId="097736FF"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Financijski plan proračunskog korisnika mora obuhvatiti sve izvore financiranja, što proizlazi iz Zakona o proračunu. Iz navedenoga proizlazi obveza uključivanja svih prihoda i primitaka, rashoda i izdataka proračunskih korisnika u proračun jedinice lokalne i područne (regionalne) samouprave, sukladno ekonomskoj, programskoj, funkcijskoj, organizacijskoj, lokacijskoj klasifikaciji te izvorima financiranja.</w:t>
      </w:r>
    </w:p>
    <w:p w14:paraId="3D857861" w14:textId="77777777" w:rsidR="00D54306" w:rsidRPr="00D54306" w:rsidRDefault="00D54306" w:rsidP="00D54306">
      <w:pPr>
        <w:ind w:firstLine="357"/>
        <w:jc w:val="both"/>
        <w:rPr>
          <w:rFonts w:ascii="Times New Roman" w:eastAsia="Times New Roman" w:hAnsi="Times New Roman" w:cs="Times New Roman"/>
          <w:noProof w:val="0"/>
          <w:lang w:eastAsia="hr-HR"/>
        </w:rPr>
      </w:pPr>
    </w:p>
    <w:p w14:paraId="4467ED5E"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Rezultat poslovanja odnosno višak/manjak ne iskazuju se u financijskom planu na računima razreda 6/7 i 3/4, već se u sam financijski plan uključuje bilančna pozicija 922 višak/manjak prihoda. </w:t>
      </w:r>
    </w:p>
    <w:p w14:paraId="6209F79A" w14:textId="77777777" w:rsidR="00D54306" w:rsidRPr="00D54306" w:rsidRDefault="00D54306" w:rsidP="00D54306">
      <w:pPr>
        <w:ind w:firstLine="357"/>
        <w:jc w:val="both"/>
        <w:rPr>
          <w:rFonts w:ascii="Times New Roman" w:eastAsia="Times New Roman" w:hAnsi="Times New Roman" w:cs="Times New Roman"/>
          <w:noProof w:val="0"/>
          <w:lang w:eastAsia="hr-HR"/>
        </w:rPr>
      </w:pPr>
    </w:p>
    <w:p w14:paraId="336CC196" w14:textId="77777777" w:rsidR="00D54306" w:rsidRPr="00D54306" w:rsidRDefault="00D54306" w:rsidP="00D54306">
      <w:pPr>
        <w:ind w:firstLine="357"/>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lastRenderedPageBreak/>
        <w:t xml:space="preserve">Budući da je konačni rezultat poslovanja poznat tek u siječnju godine za koju se donosi financijski plan prilikom izrade financijskog plana u obzir je potrebno uzeti planirani rezultat poslovanja, odnosno procjenu rezultata poslovanja. </w:t>
      </w:r>
    </w:p>
    <w:p w14:paraId="6E4B6DE2" w14:textId="77777777" w:rsidR="00D54306" w:rsidRPr="00D54306" w:rsidRDefault="00D54306" w:rsidP="00D54306">
      <w:pPr>
        <w:jc w:val="both"/>
        <w:rPr>
          <w:rFonts w:ascii="Times New Roman" w:eastAsia="Times New Roman" w:hAnsi="Times New Roman" w:cs="Times New Roman"/>
          <w:noProof w:val="0"/>
          <w:lang w:eastAsia="hr-HR"/>
        </w:rPr>
      </w:pPr>
    </w:p>
    <w:p w14:paraId="5EC36180" w14:textId="77777777" w:rsidR="00D54306" w:rsidRPr="00D54306" w:rsidRDefault="00D54306" w:rsidP="00D54306">
      <w:pPr>
        <w:ind w:firstLine="357"/>
        <w:jc w:val="both"/>
        <w:rPr>
          <w:rFonts w:ascii="Times New Roman" w:eastAsia="Times New Roman" w:hAnsi="Times New Roman" w:cs="Times New Roman"/>
          <w:b/>
          <w:i/>
          <w:noProof w:val="0"/>
          <w:lang w:eastAsia="hr-HR"/>
        </w:rPr>
      </w:pPr>
      <w:r w:rsidRPr="00D54306">
        <w:rPr>
          <w:rFonts w:ascii="Times New Roman" w:eastAsia="Times New Roman" w:hAnsi="Times New Roman" w:cs="Times New Roman"/>
          <w:b/>
          <w:i/>
          <w:noProof w:val="0"/>
          <w:lang w:eastAsia="hr-HR"/>
        </w:rPr>
        <w:t xml:space="preserve">Moli se proračunski korisnik da se pri izradi financijskog plana pridržava propisanih metodologija, a naročito svih odredbi Zakona o proračunu, u protivnom će se isti vratiti zbog propisanih odredbi iz Zakona o fiskalnoj odgovornosti i načina popunjavanja Izjave i Upitnika o fiskalnoj odgovornosti za 2023. godinu. </w:t>
      </w:r>
    </w:p>
    <w:p w14:paraId="088042A5" w14:textId="77777777" w:rsidR="00D54306" w:rsidRPr="00D54306" w:rsidRDefault="00D54306" w:rsidP="00D54306">
      <w:pPr>
        <w:jc w:val="both"/>
        <w:rPr>
          <w:rFonts w:ascii="Times New Roman" w:eastAsia="Times New Roman" w:hAnsi="Times New Roman" w:cs="Times New Roman"/>
          <w:i/>
          <w:noProof w:val="0"/>
          <w:lang w:eastAsia="hr-HR"/>
        </w:rPr>
      </w:pPr>
    </w:p>
    <w:p w14:paraId="3B8970EF" w14:textId="77777777" w:rsidR="00D54306" w:rsidRPr="00D54306" w:rsidRDefault="00D54306" w:rsidP="00D54306">
      <w:pPr>
        <w:ind w:firstLine="357"/>
        <w:jc w:val="both"/>
        <w:rPr>
          <w:rFonts w:ascii="Times New Roman" w:eastAsia="Times New Roman" w:hAnsi="Times New Roman" w:cs="Times New Roman"/>
          <w:b/>
          <w:i/>
          <w:noProof w:val="0"/>
          <w:lang w:eastAsia="hr-HR"/>
        </w:rPr>
      </w:pPr>
      <w:r w:rsidRPr="00D54306">
        <w:rPr>
          <w:rFonts w:ascii="Times New Roman" w:eastAsia="Times New Roman" w:hAnsi="Times New Roman" w:cs="Times New Roman"/>
          <w:b/>
          <w:i/>
          <w:noProof w:val="0"/>
          <w:lang w:eastAsia="hr-HR"/>
        </w:rPr>
        <w:t xml:space="preserve">Vezano uz programe te aktivnosti i projekte iz vaše nadležnosti potrebno je pridržavati se isključivo postojećih, navedenih u Proračunu Općine Kneževi Vinogradi za 2023. i projekcijama za 2024 i 2025. godinu. Za eventualno nove programe, aktivnosti i projekte za 2024. godinu potrebno je pismeno kontaktirati Jedinstveni upravni odjel Općine Kneževi Vinogradi. </w:t>
      </w:r>
    </w:p>
    <w:p w14:paraId="22BE551F" w14:textId="77777777" w:rsidR="00D54306" w:rsidRPr="00D54306" w:rsidRDefault="00D54306" w:rsidP="00D54306">
      <w:pPr>
        <w:ind w:firstLine="357"/>
        <w:jc w:val="both"/>
        <w:rPr>
          <w:rFonts w:ascii="Times New Roman" w:eastAsia="Times New Roman" w:hAnsi="Times New Roman" w:cs="Times New Roman"/>
          <w:b/>
          <w:i/>
          <w:noProof w:val="0"/>
          <w:lang w:eastAsia="hr-HR"/>
        </w:rPr>
      </w:pPr>
    </w:p>
    <w:p w14:paraId="7AD446FF" w14:textId="77777777" w:rsidR="00D54306" w:rsidRPr="00D54306" w:rsidRDefault="00D54306" w:rsidP="00D54306">
      <w:pPr>
        <w:numPr>
          <w:ilvl w:val="1"/>
          <w:numId w:val="1"/>
        </w:numPr>
        <w:contextualSpacing/>
        <w:jc w:val="both"/>
        <w:rPr>
          <w:rFonts w:ascii="Times New Roman" w:eastAsia="Times New Roman" w:hAnsi="Times New Roman" w:cs="Times New Roman"/>
          <w:b/>
          <w:iCs/>
          <w:noProof w:val="0"/>
          <w:lang w:eastAsia="hr-HR"/>
        </w:rPr>
      </w:pPr>
      <w:r w:rsidRPr="00D54306">
        <w:rPr>
          <w:rFonts w:ascii="Times New Roman" w:eastAsia="Times New Roman" w:hAnsi="Times New Roman" w:cs="Times New Roman"/>
          <w:b/>
          <w:bCs/>
          <w:noProof w:val="0"/>
          <w:sz w:val="24"/>
          <w:szCs w:val="24"/>
          <w:lang w:eastAsia="hr-HR"/>
        </w:rPr>
        <w:t>Rokovi za dostavu prijedloga financijskih planova proračunskih korisnika</w:t>
      </w:r>
    </w:p>
    <w:p w14:paraId="3CB4A271" w14:textId="77777777" w:rsidR="00D54306" w:rsidRPr="00D54306" w:rsidRDefault="00D54306" w:rsidP="00D54306">
      <w:pPr>
        <w:ind w:firstLine="357"/>
        <w:jc w:val="both"/>
        <w:rPr>
          <w:rFonts w:ascii="Times New Roman" w:eastAsia="Times New Roman" w:hAnsi="Times New Roman" w:cs="Times New Roman"/>
          <w:b/>
          <w:i/>
          <w:noProof w:val="0"/>
          <w:lang w:eastAsia="hr-HR"/>
        </w:rPr>
      </w:pPr>
    </w:p>
    <w:tbl>
      <w:tblPr>
        <w:tblStyle w:val="TableGrid2"/>
        <w:tblW w:w="0" w:type="auto"/>
        <w:tblLook w:val="04A0" w:firstRow="1" w:lastRow="0" w:firstColumn="1" w:lastColumn="0" w:noHBand="0" w:noVBand="1"/>
      </w:tblPr>
      <w:tblGrid>
        <w:gridCol w:w="2265"/>
        <w:gridCol w:w="2265"/>
        <w:gridCol w:w="2265"/>
        <w:gridCol w:w="2265"/>
      </w:tblGrid>
      <w:tr w:rsidR="00D54306" w:rsidRPr="00D54306" w14:paraId="312DC231" w14:textId="77777777" w:rsidTr="00D54306">
        <w:tc>
          <w:tcPr>
            <w:tcW w:w="2265" w:type="dxa"/>
            <w:shd w:val="clear" w:color="auto" w:fill="BFBFBF"/>
          </w:tcPr>
          <w:p w14:paraId="78C8A1FD" w14:textId="77777777" w:rsidR="00D54306" w:rsidRPr="00D54306" w:rsidRDefault="00D54306" w:rsidP="00D54306">
            <w:pPr>
              <w:jc w:val="center"/>
              <w:rPr>
                <w:b/>
                <w:iCs/>
                <w:noProof w:val="0"/>
              </w:rPr>
            </w:pPr>
            <w:r w:rsidRPr="00D54306">
              <w:rPr>
                <w:b/>
                <w:iCs/>
                <w:noProof w:val="0"/>
              </w:rPr>
              <w:t>TKO?</w:t>
            </w:r>
          </w:p>
        </w:tc>
        <w:tc>
          <w:tcPr>
            <w:tcW w:w="2265" w:type="dxa"/>
            <w:shd w:val="clear" w:color="auto" w:fill="BFBFBF"/>
          </w:tcPr>
          <w:p w14:paraId="43FB580D" w14:textId="77777777" w:rsidR="00D54306" w:rsidRPr="00D54306" w:rsidRDefault="00D54306" w:rsidP="00D54306">
            <w:pPr>
              <w:jc w:val="center"/>
              <w:rPr>
                <w:b/>
                <w:iCs/>
                <w:noProof w:val="0"/>
              </w:rPr>
            </w:pPr>
            <w:r w:rsidRPr="00D54306">
              <w:rPr>
                <w:b/>
                <w:iCs/>
                <w:noProof w:val="0"/>
              </w:rPr>
              <w:t>KOME?</w:t>
            </w:r>
          </w:p>
        </w:tc>
        <w:tc>
          <w:tcPr>
            <w:tcW w:w="2265" w:type="dxa"/>
            <w:shd w:val="clear" w:color="auto" w:fill="BFBFBF"/>
          </w:tcPr>
          <w:p w14:paraId="1C6DCF5B" w14:textId="77777777" w:rsidR="00D54306" w:rsidRPr="00D54306" w:rsidRDefault="00D54306" w:rsidP="00D54306">
            <w:pPr>
              <w:jc w:val="center"/>
              <w:rPr>
                <w:b/>
                <w:iCs/>
                <w:noProof w:val="0"/>
              </w:rPr>
            </w:pPr>
            <w:r w:rsidRPr="00D54306">
              <w:rPr>
                <w:b/>
                <w:iCs/>
                <w:noProof w:val="0"/>
              </w:rPr>
              <w:t>ROK</w:t>
            </w:r>
          </w:p>
        </w:tc>
        <w:tc>
          <w:tcPr>
            <w:tcW w:w="2265" w:type="dxa"/>
            <w:shd w:val="clear" w:color="auto" w:fill="BFBFBF"/>
          </w:tcPr>
          <w:p w14:paraId="3BB8875D" w14:textId="77777777" w:rsidR="00D54306" w:rsidRPr="00D54306" w:rsidRDefault="00D54306" w:rsidP="00D54306">
            <w:pPr>
              <w:jc w:val="center"/>
              <w:rPr>
                <w:b/>
                <w:iCs/>
                <w:noProof w:val="0"/>
              </w:rPr>
            </w:pPr>
            <w:r w:rsidRPr="00D54306">
              <w:rPr>
                <w:b/>
                <w:iCs/>
                <w:noProof w:val="0"/>
              </w:rPr>
              <w:t>NAPOMENA</w:t>
            </w:r>
          </w:p>
        </w:tc>
      </w:tr>
      <w:tr w:rsidR="00D54306" w:rsidRPr="00D54306" w14:paraId="1F6B0226" w14:textId="77777777" w:rsidTr="00981375">
        <w:tc>
          <w:tcPr>
            <w:tcW w:w="2265" w:type="dxa"/>
          </w:tcPr>
          <w:p w14:paraId="437FAF9C" w14:textId="77777777" w:rsidR="00D54306" w:rsidRPr="00D54306" w:rsidRDefault="00D54306" w:rsidP="00D54306">
            <w:pPr>
              <w:jc w:val="both"/>
              <w:rPr>
                <w:bCs/>
                <w:iCs/>
                <w:noProof w:val="0"/>
              </w:rPr>
            </w:pPr>
            <w:r w:rsidRPr="00D54306">
              <w:rPr>
                <w:bCs/>
                <w:iCs/>
                <w:noProof w:val="0"/>
              </w:rPr>
              <w:t xml:space="preserve">Čelnik proračunskog korisnika </w:t>
            </w:r>
          </w:p>
        </w:tc>
        <w:tc>
          <w:tcPr>
            <w:tcW w:w="2265" w:type="dxa"/>
          </w:tcPr>
          <w:p w14:paraId="1480DD66" w14:textId="77777777" w:rsidR="00D54306" w:rsidRPr="00D54306" w:rsidRDefault="00D54306" w:rsidP="00D54306">
            <w:pPr>
              <w:jc w:val="both"/>
              <w:rPr>
                <w:bCs/>
                <w:iCs/>
                <w:noProof w:val="0"/>
              </w:rPr>
            </w:pPr>
            <w:r w:rsidRPr="00D54306">
              <w:rPr>
                <w:bCs/>
                <w:iCs/>
                <w:noProof w:val="0"/>
              </w:rPr>
              <w:t>Upravljačkom tijelu (upravnom vijeću)</w:t>
            </w:r>
          </w:p>
        </w:tc>
        <w:tc>
          <w:tcPr>
            <w:tcW w:w="2265" w:type="dxa"/>
          </w:tcPr>
          <w:p w14:paraId="2EBA50D9" w14:textId="77777777" w:rsidR="00D54306" w:rsidRPr="00D54306" w:rsidRDefault="00D54306" w:rsidP="00D54306">
            <w:pPr>
              <w:jc w:val="both"/>
              <w:rPr>
                <w:bCs/>
                <w:iCs/>
                <w:noProof w:val="0"/>
              </w:rPr>
            </w:pPr>
            <w:r w:rsidRPr="00D54306">
              <w:rPr>
                <w:bCs/>
                <w:iCs/>
                <w:noProof w:val="0"/>
              </w:rPr>
              <w:t>Prije sazivanja sjednice upravljačkog tijela, najkasnije prije roka za dostavu JUO Općine</w:t>
            </w:r>
          </w:p>
        </w:tc>
        <w:tc>
          <w:tcPr>
            <w:tcW w:w="2265" w:type="dxa"/>
          </w:tcPr>
          <w:p w14:paraId="3CBC508D" w14:textId="77777777" w:rsidR="00D54306" w:rsidRPr="00D54306" w:rsidRDefault="00D54306" w:rsidP="00D54306">
            <w:pPr>
              <w:jc w:val="both"/>
              <w:rPr>
                <w:bCs/>
                <w:iCs/>
                <w:noProof w:val="0"/>
              </w:rPr>
            </w:pPr>
            <w:r w:rsidRPr="00D54306">
              <w:rPr>
                <w:bCs/>
                <w:iCs/>
                <w:noProof w:val="0"/>
              </w:rPr>
              <w:t>Prije dostave prijedloga financijskog plana JUO, čelnik proračunskog korisnika obvezan je prijedlog financijskog plana uputiti upravljačkom tijelu na usvajanje, ako je primjenjivo, u skladu s aktima kojima je uređen rad proračunskog korisnika.</w:t>
            </w:r>
          </w:p>
        </w:tc>
      </w:tr>
      <w:tr w:rsidR="00D54306" w:rsidRPr="00D54306" w14:paraId="7CEBD8F3" w14:textId="77777777" w:rsidTr="00981375">
        <w:tc>
          <w:tcPr>
            <w:tcW w:w="2265" w:type="dxa"/>
          </w:tcPr>
          <w:p w14:paraId="673E25DF" w14:textId="77777777" w:rsidR="00D54306" w:rsidRPr="00D54306" w:rsidRDefault="00D54306" w:rsidP="00D54306">
            <w:pPr>
              <w:jc w:val="both"/>
              <w:rPr>
                <w:bCs/>
                <w:iCs/>
                <w:noProof w:val="0"/>
              </w:rPr>
            </w:pPr>
            <w:r w:rsidRPr="00D54306">
              <w:rPr>
                <w:bCs/>
                <w:iCs/>
                <w:noProof w:val="0"/>
              </w:rPr>
              <w:t>Proračunski korisnik (vrtić, vijeće)</w:t>
            </w:r>
          </w:p>
        </w:tc>
        <w:tc>
          <w:tcPr>
            <w:tcW w:w="2265" w:type="dxa"/>
          </w:tcPr>
          <w:p w14:paraId="563FD372" w14:textId="77777777" w:rsidR="00D54306" w:rsidRPr="00D54306" w:rsidRDefault="00D54306" w:rsidP="00D54306">
            <w:pPr>
              <w:jc w:val="both"/>
              <w:rPr>
                <w:bCs/>
                <w:iCs/>
                <w:noProof w:val="0"/>
              </w:rPr>
            </w:pPr>
            <w:r w:rsidRPr="00D54306">
              <w:rPr>
                <w:bCs/>
                <w:iCs/>
                <w:noProof w:val="0"/>
              </w:rPr>
              <w:t xml:space="preserve">Jedinstvenom upravnom odjelu Općine </w:t>
            </w:r>
            <w:proofErr w:type="spellStart"/>
            <w:r w:rsidRPr="00D54306">
              <w:rPr>
                <w:bCs/>
                <w:iCs/>
                <w:noProof w:val="0"/>
              </w:rPr>
              <w:t>Kn.Vinogradi</w:t>
            </w:r>
            <w:proofErr w:type="spellEnd"/>
          </w:p>
        </w:tc>
        <w:tc>
          <w:tcPr>
            <w:tcW w:w="2265" w:type="dxa"/>
          </w:tcPr>
          <w:p w14:paraId="699FAAC8" w14:textId="77777777" w:rsidR="00D54306" w:rsidRPr="00D54306" w:rsidRDefault="00D54306" w:rsidP="00D54306">
            <w:pPr>
              <w:jc w:val="both"/>
              <w:rPr>
                <w:bCs/>
                <w:iCs/>
                <w:noProof w:val="0"/>
              </w:rPr>
            </w:pPr>
            <w:r w:rsidRPr="00D54306">
              <w:rPr>
                <w:bCs/>
                <w:iCs/>
                <w:noProof w:val="0"/>
              </w:rPr>
              <w:t>31.10.2023.</w:t>
            </w:r>
          </w:p>
        </w:tc>
        <w:tc>
          <w:tcPr>
            <w:tcW w:w="2265" w:type="dxa"/>
          </w:tcPr>
          <w:p w14:paraId="2D67A9DA" w14:textId="77777777" w:rsidR="00D54306" w:rsidRPr="00D54306" w:rsidRDefault="00D54306" w:rsidP="00D54306">
            <w:pPr>
              <w:jc w:val="both"/>
              <w:rPr>
                <w:bCs/>
                <w:iCs/>
                <w:noProof w:val="0"/>
              </w:rPr>
            </w:pPr>
            <w:r w:rsidRPr="00D54306">
              <w:rPr>
                <w:bCs/>
                <w:iCs/>
                <w:noProof w:val="0"/>
              </w:rPr>
              <w:t>JUO provjerava točnost i istinitost podataka navedenih u financijskim planovima.</w:t>
            </w:r>
          </w:p>
        </w:tc>
      </w:tr>
      <w:tr w:rsidR="00D54306" w:rsidRPr="00D54306" w14:paraId="188BAF1E" w14:textId="77777777" w:rsidTr="00981375">
        <w:tc>
          <w:tcPr>
            <w:tcW w:w="2265" w:type="dxa"/>
          </w:tcPr>
          <w:p w14:paraId="7EEECA6D" w14:textId="77777777" w:rsidR="00D54306" w:rsidRPr="00D54306" w:rsidRDefault="00D54306" w:rsidP="00D54306">
            <w:pPr>
              <w:jc w:val="both"/>
              <w:rPr>
                <w:bCs/>
                <w:iCs/>
                <w:noProof w:val="0"/>
              </w:rPr>
            </w:pPr>
            <w:r w:rsidRPr="00D54306">
              <w:rPr>
                <w:bCs/>
                <w:iCs/>
                <w:noProof w:val="0"/>
              </w:rPr>
              <w:t>JUO Općine</w:t>
            </w:r>
          </w:p>
        </w:tc>
        <w:tc>
          <w:tcPr>
            <w:tcW w:w="2265" w:type="dxa"/>
          </w:tcPr>
          <w:p w14:paraId="29D8A405" w14:textId="77777777" w:rsidR="00D54306" w:rsidRPr="00D54306" w:rsidRDefault="00D54306" w:rsidP="00D54306">
            <w:pPr>
              <w:jc w:val="both"/>
              <w:rPr>
                <w:bCs/>
                <w:iCs/>
                <w:noProof w:val="0"/>
              </w:rPr>
            </w:pPr>
            <w:r w:rsidRPr="00D54306">
              <w:rPr>
                <w:bCs/>
                <w:iCs/>
                <w:noProof w:val="0"/>
              </w:rPr>
              <w:t>Općinskom načelniku</w:t>
            </w:r>
          </w:p>
        </w:tc>
        <w:tc>
          <w:tcPr>
            <w:tcW w:w="2265" w:type="dxa"/>
          </w:tcPr>
          <w:p w14:paraId="7719275C" w14:textId="77777777" w:rsidR="00D54306" w:rsidRPr="00D54306" w:rsidRDefault="00D54306" w:rsidP="00D54306">
            <w:pPr>
              <w:jc w:val="both"/>
              <w:rPr>
                <w:bCs/>
                <w:iCs/>
                <w:noProof w:val="0"/>
              </w:rPr>
            </w:pPr>
            <w:r w:rsidRPr="00D54306">
              <w:rPr>
                <w:bCs/>
                <w:iCs/>
                <w:noProof w:val="0"/>
              </w:rPr>
              <w:t>do 07.studenog 2023.</w:t>
            </w:r>
          </w:p>
        </w:tc>
        <w:tc>
          <w:tcPr>
            <w:tcW w:w="2265" w:type="dxa"/>
          </w:tcPr>
          <w:p w14:paraId="1B07E292" w14:textId="77777777" w:rsidR="00D54306" w:rsidRPr="00D54306" w:rsidRDefault="00D54306" w:rsidP="00D54306">
            <w:pPr>
              <w:jc w:val="both"/>
              <w:rPr>
                <w:bCs/>
                <w:iCs/>
                <w:noProof w:val="0"/>
              </w:rPr>
            </w:pPr>
            <w:r w:rsidRPr="00D54306">
              <w:rPr>
                <w:bCs/>
                <w:iCs/>
                <w:noProof w:val="0"/>
              </w:rPr>
              <w:t>JUO nadležno za financije izrađuje nacrt proračuna te ga dostavlja načelniku</w:t>
            </w:r>
          </w:p>
        </w:tc>
      </w:tr>
      <w:tr w:rsidR="00D54306" w:rsidRPr="00D54306" w14:paraId="0FBF8C76" w14:textId="77777777" w:rsidTr="00981375">
        <w:tc>
          <w:tcPr>
            <w:tcW w:w="2265" w:type="dxa"/>
          </w:tcPr>
          <w:p w14:paraId="41C9CE97" w14:textId="77777777" w:rsidR="00D54306" w:rsidRPr="00D54306" w:rsidRDefault="00D54306" w:rsidP="00D54306">
            <w:pPr>
              <w:jc w:val="both"/>
              <w:rPr>
                <w:bCs/>
                <w:iCs/>
                <w:noProof w:val="0"/>
              </w:rPr>
            </w:pPr>
            <w:r w:rsidRPr="00D54306">
              <w:rPr>
                <w:bCs/>
                <w:iCs/>
                <w:noProof w:val="0"/>
              </w:rPr>
              <w:t>Općinski načelnik</w:t>
            </w:r>
          </w:p>
        </w:tc>
        <w:tc>
          <w:tcPr>
            <w:tcW w:w="2265" w:type="dxa"/>
          </w:tcPr>
          <w:p w14:paraId="760755A3" w14:textId="77777777" w:rsidR="00D54306" w:rsidRPr="00D54306" w:rsidRDefault="00D54306" w:rsidP="00D54306">
            <w:pPr>
              <w:jc w:val="both"/>
              <w:rPr>
                <w:bCs/>
                <w:iCs/>
                <w:noProof w:val="0"/>
              </w:rPr>
            </w:pPr>
            <w:r w:rsidRPr="00D54306">
              <w:rPr>
                <w:bCs/>
                <w:iCs/>
                <w:noProof w:val="0"/>
              </w:rPr>
              <w:t>Općinskom vijeću</w:t>
            </w:r>
          </w:p>
        </w:tc>
        <w:tc>
          <w:tcPr>
            <w:tcW w:w="2265" w:type="dxa"/>
          </w:tcPr>
          <w:p w14:paraId="126D45CE" w14:textId="77777777" w:rsidR="00D54306" w:rsidRPr="00D54306" w:rsidRDefault="00D54306" w:rsidP="00D54306">
            <w:pPr>
              <w:jc w:val="both"/>
              <w:rPr>
                <w:bCs/>
                <w:iCs/>
                <w:noProof w:val="0"/>
              </w:rPr>
            </w:pPr>
            <w:r w:rsidRPr="00D54306">
              <w:rPr>
                <w:bCs/>
                <w:iCs/>
                <w:noProof w:val="0"/>
              </w:rPr>
              <w:t>Do 15.studenog 2023.</w:t>
            </w:r>
          </w:p>
        </w:tc>
        <w:tc>
          <w:tcPr>
            <w:tcW w:w="2265" w:type="dxa"/>
          </w:tcPr>
          <w:p w14:paraId="051B9F6B" w14:textId="77777777" w:rsidR="00D54306" w:rsidRPr="00D54306" w:rsidRDefault="00D54306" w:rsidP="00D54306">
            <w:pPr>
              <w:jc w:val="both"/>
              <w:rPr>
                <w:bCs/>
                <w:iCs/>
                <w:noProof w:val="0"/>
              </w:rPr>
            </w:pPr>
            <w:r w:rsidRPr="00D54306">
              <w:rPr>
                <w:bCs/>
                <w:iCs/>
                <w:noProof w:val="0"/>
              </w:rPr>
              <w:t>Načelnik utvrđuje prijedlog proračuna i podnosi ga Općinskom vijeću na usvajanje</w:t>
            </w:r>
          </w:p>
        </w:tc>
      </w:tr>
      <w:tr w:rsidR="00D54306" w:rsidRPr="00D54306" w14:paraId="388FF307" w14:textId="77777777" w:rsidTr="00981375">
        <w:tc>
          <w:tcPr>
            <w:tcW w:w="2265" w:type="dxa"/>
          </w:tcPr>
          <w:p w14:paraId="427C545F" w14:textId="77777777" w:rsidR="00D54306" w:rsidRPr="00D54306" w:rsidRDefault="00D54306" w:rsidP="00D54306">
            <w:pPr>
              <w:jc w:val="both"/>
              <w:rPr>
                <w:bCs/>
                <w:iCs/>
                <w:noProof w:val="0"/>
              </w:rPr>
            </w:pPr>
            <w:r w:rsidRPr="00D54306">
              <w:rPr>
                <w:bCs/>
                <w:iCs/>
                <w:noProof w:val="0"/>
              </w:rPr>
              <w:t>Općinsko vijeće</w:t>
            </w:r>
          </w:p>
        </w:tc>
        <w:tc>
          <w:tcPr>
            <w:tcW w:w="2265" w:type="dxa"/>
          </w:tcPr>
          <w:p w14:paraId="36BDA19F" w14:textId="77777777" w:rsidR="00D54306" w:rsidRPr="00D54306" w:rsidRDefault="00D54306" w:rsidP="00D54306">
            <w:pPr>
              <w:jc w:val="both"/>
              <w:rPr>
                <w:bCs/>
                <w:iCs/>
                <w:noProof w:val="0"/>
              </w:rPr>
            </w:pPr>
          </w:p>
        </w:tc>
        <w:tc>
          <w:tcPr>
            <w:tcW w:w="2265" w:type="dxa"/>
          </w:tcPr>
          <w:p w14:paraId="23EE13D3" w14:textId="77777777" w:rsidR="00D54306" w:rsidRPr="00D54306" w:rsidRDefault="00D54306" w:rsidP="00D54306">
            <w:pPr>
              <w:jc w:val="both"/>
              <w:rPr>
                <w:bCs/>
                <w:iCs/>
                <w:noProof w:val="0"/>
              </w:rPr>
            </w:pPr>
            <w:r w:rsidRPr="00D54306">
              <w:rPr>
                <w:bCs/>
                <w:iCs/>
                <w:noProof w:val="0"/>
              </w:rPr>
              <w:t>Do kraja 2023.</w:t>
            </w:r>
          </w:p>
        </w:tc>
        <w:tc>
          <w:tcPr>
            <w:tcW w:w="2265" w:type="dxa"/>
          </w:tcPr>
          <w:p w14:paraId="7F7B4EEE" w14:textId="77777777" w:rsidR="00D54306" w:rsidRPr="00D54306" w:rsidRDefault="00D54306" w:rsidP="00D54306">
            <w:pPr>
              <w:jc w:val="both"/>
              <w:rPr>
                <w:bCs/>
                <w:iCs/>
                <w:noProof w:val="0"/>
              </w:rPr>
            </w:pPr>
            <w:r w:rsidRPr="00D54306">
              <w:rPr>
                <w:bCs/>
                <w:iCs/>
                <w:noProof w:val="0"/>
              </w:rPr>
              <w:t>Predstavničko tijelo donosi proračun za 2023. godinu i projekcije za 2024. i 2025. godinu do kraja tekuće 2022. godine, u roku koji omogućuje primjenu proračuna od 1. siječnja 2023.</w:t>
            </w:r>
          </w:p>
        </w:tc>
      </w:tr>
    </w:tbl>
    <w:p w14:paraId="056B230C" w14:textId="77777777" w:rsidR="00D54306" w:rsidRPr="00D54306" w:rsidRDefault="00D54306" w:rsidP="00D54306">
      <w:pPr>
        <w:jc w:val="both"/>
        <w:rPr>
          <w:rFonts w:ascii="Times New Roman" w:eastAsia="Times New Roman" w:hAnsi="Times New Roman" w:cs="Times New Roman"/>
          <w:b/>
          <w:iCs/>
          <w:noProof w:val="0"/>
          <w:lang w:eastAsia="hr-HR"/>
        </w:rPr>
      </w:pPr>
    </w:p>
    <w:p w14:paraId="7A2C2C1E" w14:textId="77777777" w:rsidR="00D54306" w:rsidRPr="00D54306" w:rsidRDefault="00D54306" w:rsidP="00D54306">
      <w:pPr>
        <w:ind w:firstLine="357"/>
        <w:jc w:val="both"/>
        <w:rPr>
          <w:rFonts w:ascii="Times New Roman" w:eastAsia="Times New Roman" w:hAnsi="Times New Roman" w:cs="Times New Roman"/>
          <w:b/>
          <w:iCs/>
          <w:noProof w:val="0"/>
          <w:lang w:eastAsia="hr-HR"/>
        </w:rPr>
      </w:pPr>
    </w:p>
    <w:p w14:paraId="0BA573E9" w14:textId="77777777" w:rsidR="00D54306" w:rsidRPr="00D54306" w:rsidRDefault="00D54306" w:rsidP="00D54306">
      <w:pPr>
        <w:ind w:firstLine="357"/>
        <w:jc w:val="both"/>
        <w:rPr>
          <w:rFonts w:ascii="Times New Roman" w:eastAsia="Times New Roman" w:hAnsi="Times New Roman" w:cs="Times New Roman"/>
          <w:b/>
          <w:iCs/>
          <w:noProof w:val="0"/>
          <w:lang w:eastAsia="hr-HR"/>
        </w:rPr>
      </w:pPr>
      <w:r w:rsidRPr="00D54306">
        <w:rPr>
          <w:rFonts w:ascii="Times New Roman" w:eastAsia="Times New Roman" w:hAnsi="Times New Roman" w:cs="Times New Roman"/>
          <w:b/>
          <w:bCs/>
          <w:noProof w:val="0"/>
          <w:sz w:val="23"/>
          <w:szCs w:val="23"/>
          <w:lang w:eastAsia="hr-HR"/>
        </w:rPr>
        <w:t xml:space="preserve">U slučaju da postoje razlike u financijskom planu proračunskog korisnika </w:t>
      </w:r>
      <w:r w:rsidRPr="00D54306">
        <w:rPr>
          <w:rFonts w:ascii="Times New Roman" w:eastAsia="Times New Roman" w:hAnsi="Times New Roman" w:cs="Times New Roman"/>
          <w:noProof w:val="0"/>
          <w:sz w:val="23"/>
          <w:szCs w:val="23"/>
          <w:lang w:eastAsia="hr-HR"/>
        </w:rPr>
        <w:t xml:space="preserve">sadržanom u proračunu, kojeg je donijelo Općinsko vijeće, u odnosu na već usvojeni prijedlog financijskog plana od strane upravljačkog tijela, </w:t>
      </w:r>
      <w:r w:rsidRPr="00D54306">
        <w:rPr>
          <w:rFonts w:ascii="Times New Roman" w:eastAsia="Times New Roman" w:hAnsi="Times New Roman" w:cs="Times New Roman"/>
          <w:b/>
          <w:bCs/>
          <w:noProof w:val="0"/>
          <w:sz w:val="23"/>
          <w:szCs w:val="23"/>
          <w:lang w:eastAsia="hr-HR"/>
        </w:rPr>
        <w:t>tada će JUO Općine obavijestiti proračunskog korisnika o promjenama financijskog plana koji je sadržan u proračunu u odnosu na usvojeni prijedlog financijskog plana. Ako dođe do navedene situacije, upravljačko tijelo usvaja financijski plan koji je sadržan u proračunu kojeg je donijelo predstavničko tijelo.</w:t>
      </w:r>
    </w:p>
    <w:p w14:paraId="655C729B" w14:textId="77777777" w:rsidR="00D54306" w:rsidRPr="00D54306" w:rsidRDefault="00D54306" w:rsidP="00D54306">
      <w:pPr>
        <w:ind w:firstLine="357"/>
        <w:jc w:val="both"/>
        <w:rPr>
          <w:rFonts w:ascii="Times New Roman" w:eastAsia="Times New Roman" w:hAnsi="Times New Roman" w:cs="Times New Roman"/>
          <w:b/>
          <w:iCs/>
          <w:noProof w:val="0"/>
          <w:lang w:eastAsia="hr-HR"/>
        </w:rPr>
      </w:pPr>
    </w:p>
    <w:p w14:paraId="26A590A8" w14:textId="77777777" w:rsidR="00D54306" w:rsidRPr="00D54306" w:rsidRDefault="00D54306" w:rsidP="00D54306">
      <w:pPr>
        <w:keepNext/>
        <w:keepLines/>
        <w:numPr>
          <w:ilvl w:val="1"/>
          <w:numId w:val="0"/>
        </w:numPr>
        <w:spacing w:before="240"/>
        <w:ind w:left="360" w:hanging="360"/>
        <w:outlineLvl w:val="0"/>
        <w:rPr>
          <w:rFonts w:ascii="Times New Roman" w:eastAsia="Times New Roman" w:hAnsi="Times New Roman" w:cs="Times New Roman"/>
          <w:b/>
          <w:bCs/>
          <w:noProof w:val="0"/>
          <w:sz w:val="24"/>
          <w:szCs w:val="24"/>
          <w:lang w:eastAsia="hr-HR"/>
        </w:rPr>
      </w:pPr>
      <w:bookmarkStart w:id="6" w:name="_Toc147311460"/>
      <w:r w:rsidRPr="00D54306">
        <w:rPr>
          <w:rFonts w:ascii="Times New Roman" w:eastAsia="Times New Roman" w:hAnsi="Times New Roman" w:cs="Times New Roman"/>
          <w:b/>
          <w:bCs/>
          <w:noProof w:val="0"/>
          <w:sz w:val="24"/>
          <w:szCs w:val="24"/>
          <w:lang w:eastAsia="hr-HR"/>
        </w:rPr>
        <w:t>Izmjene i dopune financijskog plana proračunskog korisnika</w:t>
      </w:r>
      <w:bookmarkEnd w:id="6"/>
    </w:p>
    <w:p w14:paraId="38AB4989" w14:textId="77777777" w:rsidR="00D54306" w:rsidRPr="00D54306" w:rsidRDefault="00D54306" w:rsidP="00D54306">
      <w:pPr>
        <w:jc w:val="both"/>
        <w:rPr>
          <w:rFonts w:ascii="Times New Roman" w:eastAsia="Times New Roman" w:hAnsi="Times New Roman" w:cs="Times New Roman"/>
          <w:b/>
          <w:iCs/>
          <w:noProof w:val="0"/>
          <w:u w:val="single"/>
          <w:lang w:eastAsia="hr-HR"/>
        </w:rPr>
      </w:pPr>
    </w:p>
    <w:p w14:paraId="1E30D1B5" w14:textId="77777777" w:rsidR="00D54306" w:rsidRPr="00D54306" w:rsidRDefault="00D54306" w:rsidP="00D54306">
      <w:pPr>
        <w:ind w:firstLine="360"/>
        <w:jc w:val="both"/>
        <w:rPr>
          <w:rFonts w:ascii="Times New Roman" w:eastAsia="Times New Roman" w:hAnsi="Times New Roman" w:cs="Times New Roman"/>
          <w:bCs/>
          <w:iCs/>
          <w:noProof w:val="0"/>
          <w:lang w:eastAsia="hr-HR"/>
        </w:rPr>
      </w:pPr>
      <w:r w:rsidRPr="00D54306">
        <w:rPr>
          <w:rFonts w:ascii="Times New Roman" w:eastAsia="Times New Roman" w:hAnsi="Times New Roman" w:cs="Times New Roman"/>
          <w:bCs/>
          <w:iCs/>
          <w:noProof w:val="0"/>
          <w:lang w:eastAsia="hr-HR"/>
        </w:rPr>
        <w:t>Sukladno odredbama Zakona o proračunu izmjenama i dopunama financijskog plana mijenja se isključivo usvojeni plan za tekuću proračunsku godinu. Na postupak donošenja izmjena i dopuna financijskog plana na odgovarajući se način primjenjuju odredbe Zakona o proračunu za postupak donošenja financijskog plana. Izmjenama i dopunama financijskog plana ne mogu se umanjiti rashodi i izdaci ispod razine izvršenja i preuzetih obveza po investicijskim projektima te preuzetih obveza iz ugovora koji zahtijevaju plaćanje u sljedećim godinama. Ostvareni namjenski prihodi i primici i ostvareni vlastiti prihodi te rashodi i izdaci izvršeni iznad iznosa utvrđenih u financijskom planu, izmjenama i dopunama financijskog plana moraju se planirati minimalno na razini ostvarenih prihoda i primitaka, odnosno izvršenih rashoda i izdataka. Uz svake izmjene i dopune financijskog plana obvezno je izraditi obrazloženja izmjena i dopuna financijskog plana (općeg i posebnog dijela).</w:t>
      </w:r>
    </w:p>
    <w:p w14:paraId="51E9C46D" w14:textId="77777777" w:rsidR="00D54306" w:rsidRPr="00D54306" w:rsidRDefault="00D54306" w:rsidP="00D54306">
      <w:pPr>
        <w:jc w:val="both"/>
        <w:rPr>
          <w:rFonts w:ascii="Times New Roman" w:eastAsia="Times New Roman" w:hAnsi="Times New Roman" w:cs="Times New Roman"/>
          <w:b/>
          <w:iCs/>
          <w:noProof w:val="0"/>
          <w:u w:val="single"/>
          <w:lang w:eastAsia="hr-HR"/>
        </w:rPr>
      </w:pPr>
    </w:p>
    <w:p w14:paraId="102161DE"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Izmjene i dopune financijskog plana proračunskog korisnika moguće izraditi na sljedeće načine:</w:t>
      </w:r>
    </w:p>
    <w:p w14:paraId="6BB43413" w14:textId="77777777" w:rsidR="00D54306" w:rsidRPr="00D54306" w:rsidRDefault="00D54306" w:rsidP="00D54306">
      <w:pPr>
        <w:numPr>
          <w:ilvl w:val="0"/>
          <w:numId w:val="5"/>
        </w:numPr>
        <w:contextualSpacing/>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Kada je riječ o promjenama u financijskom planu proračunskih korisnika koje su vezane uz financiranje iz izvora općih prihoda i primitaka, odnosno iz nadležnog lokalnog proračuna, izmjene i dopune financijskog plana proračunskog korisnika nisu moguće bez suglasnosti jedinice lokalne i područne (regionalne) samouprave, odnosno preraspodjela ili izmjena i dopuna proračuna u čijoj je proračunski korisnik nadležnosti.</w:t>
      </w:r>
    </w:p>
    <w:p w14:paraId="7B3EA01B" w14:textId="77777777" w:rsidR="00D54306" w:rsidRPr="00D54306" w:rsidRDefault="00D54306" w:rsidP="00D54306">
      <w:pPr>
        <w:numPr>
          <w:ilvl w:val="0"/>
          <w:numId w:val="5"/>
        </w:numPr>
        <w:contextualSpacing/>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Izmjene i dopune financijskog plana proračunskog korisnika vezane uz „fleksibilne“ izvore (vlastite i namjenske prihode i primitke) uredit će se odlukom o izvršenju proračuna , temeljem kojih je proračunski korisnik dužan uskladiti svoj financijski plan.</w:t>
      </w:r>
    </w:p>
    <w:p w14:paraId="2C911888" w14:textId="77777777" w:rsidR="00D54306" w:rsidRPr="00D54306" w:rsidRDefault="00D54306" w:rsidP="00D54306">
      <w:pPr>
        <w:ind w:left="720"/>
        <w:contextualSpacing/>
        <w:jc w:val="both"/>
        <w:rPr>
          <w:rFonts w:ascii="Times New Roman" w:eastAsia="Times New Roman" w:hAnsi="Times New Roman" w:cs="Times New Roman"/>
          <w:noProof w:val="0"/>
          <w:lang w:eastAsia="hr-HR"/>
        </w:rPr>
      </w:pPr>
    </w:p>
    <w:p w14:paraId="5566E276" w14:textId="77777777" w:rsidR="00D54306" w:rsidRPr="00D54306" w:rsidRDefault="00D54306" w:rsidP="00D54306">
      <w:pPr>
        <w:jc w:val="both"/>
        <w:rPr>
          <w:rFonts w:ascii="Times New Roman" w:eastAsia="Times New Roman" w:hAnsi="Times New Roman" w:cs="Times New Roman"/>
          <w:noProof w:val="0"/>
          <w:lang w:eastAsia="hr-HR"/>
        </w:rPr>
      </w:pPr>
    </w:p>
    <w:p w14:paraId="670AA687" w14:textId="77777777" w:rsidR="00D54306" w:rsidRPr="00D54306" w:rsidRDefault="00D54306" w:rsidP="00D54306">
      <w:pPr>
        <w:ind w:left="360" w:hanging="360"/>
        <w:contextualSpacing/>
        <w:rPr>
          <w:rFonts w:ascii="Times New Roman" w:eastAsia="Times New Roman" w:hAnsi="Times New Roman" w:cs="Times New Roman"/>
          <w:b/>
          <w:bCs/>
          <w:noProof w:val="0"/>
          <w:spacing w:val="-10"/>
          <w:kern w:val="28"/>
          <w:sz w:val="28"/>
          <w:szCs w:val="28"/>
          <w:lang w:eastAsia="hr-HR"/>
        </w:rPr>
      </w:pPr>
      <w:r w:rsidRPr="00D54306">
        <w:rPr>
          <w:rFonts w:ascii="Times New Roman" w:eastAsia="Times New Roman" w:hAnsi="Times New Roman" w:cs="Times New Roman"/>
          <w:b/>
          <w:bCs/>
          <w:noProof w:val="0"/>
          <w:spacing w:val="-10"/>
          <w:kern w:val="28"/>
          <w:sz w:val="28"/>
          <w:szCs w:val="28"/>
          <w:lang w:eastAsia="hr-HR"/>
        </w:rPr>
        <w:t>TRANSPARENTNOST PRORAČUNA I FINANCIJSKIH PLANOVA</w:t>
      </w:r>
    </w:p>
    <w:p w14:paraId="1EA364D5" w14:textId="77777777" w:rsidR="00D54306" w:rsidRPr="00D54306" w:rsidRDefault="00D54306" w:rsidP="00D54306">
      <w:pPr>
        <w:jc w:val="both"/>
        <w:rPr>
          <w:rFonts w:ascii="Times New Roman" w:eastAsia="Times New Roman" w:hAnsi="Times New Roman" w:cs="Times New Roman"/>
          <w:noProof w:val="0"/>
          <w:lang w:eastAsia="hr-HR"/>
        </w:rPr>
      </w:pPr>
    </w:p>
    <w:p w14:paraId="7D600668"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Novim Zakonom o proračunu propisana je obveza objave dokumenata i informacija o trošenju sredstava. Kako bi se osiguralo ostvarenje načela transparentnosti i slobodan pristup informacijama kao i njihovo povezivanje, preuzimanje i ponovno korištenje materijali vezani uz proračun i njegove izmjene objavljuju se u formatu pogodnom za daljnju obradu (word i </w:t>
      </w:r>
      <w:proofErr w:type="spellStart"/>
      <w:r w:rsidRPr="00D54306">
        <w:rPr>
          <w:rFonts w:ascii="Times New Roman" w:eastAsia="Times New Roman" w:hAnsi="Times New Roman" w:cs="Times New Roman"/>
          <w:noProof w:val="0"/>
          <w:lang w:eastAsia="hr-HR"/>
        </w:rPr>
        <w:t>excel</w:t>
      </w:r>
      <w:proofErr w:type="spellEnd"/>
      <w:r w:rsidRPr="00D54306">
        <w:rPr>
          <w:rFonts w:ascii="Times New Roman" w:eastAsia="Times New Roman" w:hAnsi="Times New Roman" w:cs="Times New Roman"/>
          <w:noProof w:val="0"/>
          <w:lang w:eastAsia="hr-HR"/>
        </w:rPr>
        <w:t>).</w:t>
      </w:r>
    </w:p>
    <w:p w14:paraId="67E2CB79" w14:textId="77777777" w:rsidR="00D54306" w:rsidRPr="00D54306" w:rsidRDefault="00D54306" w:rsidP="00D54306">
      <w:pPr>
        <w:ind w:firstLine="360"/>
        <w:jc w:val="both"/>
        <w:rPr>
          <w:rFonts w:ascii="Times New Roman" w:eastAsia="Times New Roman" w:hAnsi="Times New Roman" w:cs="Times New Roman"/>
          <w:noProof w:val="0"/>
          <w:lang w:eastAsia="hr-HR"/>
        </w:rPr>
      </w:pPr>
    </w:p>
    <w:p w14:paraId="02A4DF5D" w14:textId="77777777" w:rsidR="00D54306" w:rsidRPr="00D54306" w:rsidRDefault="00D54306" w:rsidP="00D54306">
      <w:pPr>
        <w:ind w:firstLine="36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Sukladno odredbama članka 144. novog Zakona o proračunu u nastavku navodimo obaveze proračunskih korisnika vezano za transparentnost:</w:t>
      </w:r>
    </w:p>
    <w:p w14:paraId="0A19B6AC" w14:textId="77777777" w:rsidR="00D54306" w:rsidRPr="00D54306" w:rsidRDefault="00D54306" w:rsidP="00D54306">
      <w:pPr>
        <w:numPr>
          <w:ilvl w:val="0"/>
          <w:numId w:val="9"/>
        </w:numPr>
        <w:contextualSpacing/>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Financijski plan i izmjene i dopune financijskog plana, polugodišnji i godišnji izvještaj o izvršenju financijskog plana proračunskog korisnika objavljuje se na vlastitim web stranicama, odnosno na stranici Općine Kneževi Vinogradi s obzirom da proračunski korisnici Općine nemaju svoju mrežnu stranicu,</w:t>
      </w:r>
    </w:p>
    <w:p w14:paraId="1781ADB2" w14:textId="77777777" w:rsidR="00D54306" w:rsidRPr="00D54306" w:rsidRDefault="00D54306" w:rsidP="00D54306">
      <w:pPr>
        <w:jc w:val="both"/>
        <w:rPr>
          <w:rFonts w:ascii="Times New Roman" w:eastAsia="Times New Roman" w:hAnsi="Times New Roman" w:cs="Times New Roman"/>
          <w:noProof w:val="0"/>
          <w:lang w:eastAsia="hr-HR"/>
        </w:rPr>
      </w:pPr>
    </w:p>
    <w:p w14:paraId="64F13B87" w14:textId="77777777" w:rsidR="00D54306" w:rsidRPr="00D54306" w:rsidRDefault="00D54306" w:rsidP="00D54306">
      <w:pPr>
        <w:jc w:val="both"/>
        <w:rPr>
          <w:rFonts w:ascii="Times New Roman" w:eastAsia="Times New Roman" w:hAnsi="Times New Roman" w:cs="Times New Roman"/>
          <w:noProof w:val="0"/>
          <w:color w:val="FF0000"/>
          <w:lang w:eastAsia="hr-HR"/>
        </w:rPr>
      </w:pPr>
    </w:p>
    <w:p w14:paraId="15858BA4" w14:textId="77777777" w:rsidR="00D54306" w:rsidRPr="00D54306" w:rsidRDefault="00D54306" w:rsidP="00D54306">
      <w:pPr>
        <w:ind w:left="360" w:hanging="360"/>
        <w:contextualSpacing/>
        <w:rPr>
          <w:rFonts w:ascii="Times New Roman" w:eastAsia="Times New Roman" w:hAnsi="Times New Roman" w:cs="Times New Roman"/>
          <w:b/>
          <w:bCs/>
          <w:noProof w:val="0"/>
          <w:spacing w:val="-10"/>
          <w:kern w:val="28"/>
          <w:sz w:val="28"/>
          <w:szCs w:val="28"/>
          <w:lang w:eastAsia="hr-HR"/>
        </w:rPr>
      </w:pPr>
      <w:r w:rsidRPr="00D54306">
        <w:rPr>
          <w:rFonts w:ascii="Times New Roman" w:eastAsia="Times New Roman" w:hAnsi="Times New Roman" w:cs="Times New Roman"/>
          <w:b/>
          <w:bCs/>
          <w:noProof w:val="0"/>
          <w:spacing w:val="-10"/>
          <w:kern w:val="28"/>
          <w:sz w:val="28"/>
          <w:szCs w:val="28"/>
          <w:lang w:eastAsia="hr-HR"/>
        </w:rPr>
        <w:t>PRIMJENA ZAKONA O FISKALNOJ ODGOVORNOSTI I UREDBE O SASTAVLJANJU I PREDAJI IZJAVE O FISKALNOJ ODGOVORNOSTI I IZVJEŠTAJA O PRIMJENI FISKALNIH PRAVILA</w:t>
      </w:r>
    </w:p>
    <w:p w14:paraId="3F4AC96D" w14:textId="77777777" w:rsidR="00D54306" w:rsidRPr="00D54306" w:rsidRDefault="00D54306" w:rsidP="00D54306">
      <w:pPr>
        <w:ind w:left="360"/>
        <w:jc w:val="both"/>
        <w:rPr>
          <w:rFonts w:ascii="Times New Roman" w:eastAsia="Times New Roman" w:hAnsi="Times New Roman" w:cs="Times New Roman"/>
          <w:b/>
          <w:noProof w:val="0"/>
          <w:lang w:eastAsia="hr-HR"/>
        </w:rPr>
      </w:pPr>
    </w:p>
    <w:p w14:paraId="331E32F0" w14:textId="77777777" w:rsidR="00D54306" w:rsidRPr="00D54306" w:rsidRDefault="00D54306" w:rsidP="00D54306">
      <w:pPr>
        <w:ind w:firstLine="708"/>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Izjava o fiskalnoj odgovornosti daje se i nadalje na temelju Upitnika o fiskalnoj odgovornosti, nalaza Državnog ureda za reviziju odnosno vanjske revizije i raspoloživih informacija. Postroženi su uvjeti i za davanje Izjave 1a bez utvrđenih slabosti i nepravilnosti, a pitanja iz Upitnika proširuju se i na područja transparentnosti i upravljanja imovinom. </w:t>
      </w:r>
    </w:p>
    <w:p w14:paraId="289500F3" w14:textId="77777777" w:rsidR="00D54306" w:rsidRPr="00D54306" w:rsidRDefault="00D54306" w:rsidP="00D54306">
      <w:pPr>
        <w:ind w:firstLine="708"/>
        <w:jc w:val="both"/>
        <w:rPr>
          <w:rFonts w:ascii="Times New Roman" w:eastAsia="Times New Roman" w:hAnsi="Times New Roman" w:cs="Times New Roman"/>
          <w:noProof w:val="0"/>
          <w:lang w:eastAsia="hr-HR"/>
        </w:rPr>
      </w:pPr>
    </w:p>
    <w:p w14:paraId="775222FF" w14:textId="77777777" w:rsidR="00D54306" w:rsidRPr="00D54306" w:rsidRDefault="00D54306" w:rsidP="00D54306">
      <w:pPr>
        <w:ind w:firstLine="708"/>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U kontekstu izrade financijskih planova i proračuna jedinica lokane i područne (regionalne) samouprave za razdoblje 2024.-2026., ukazujemo kako je u pitanjima iz područja planiranja iz prijedloga Upitnika o fiskalnoj odgovornosti stavljen naglasak na nužnost uravnoteženja financijskog plana proračunskog i izvanproračunskog korisnika jedinice lokalne i područne (regionalne) samouprave, </w:t>
      </w:r>
      <w:r w:rsidRPr="00D54306">
        <w:rPr>
          <w:rFonts w:ascii="Times New Roman" w:eastAsia="Times New Roman" w:hAnsi="Times New Roman" w:cs="Times New Roman"/>
          <w:noProof w:val="0"/>
          <w:lang w:eastAsia="hr-HR"/>
        </w:rPr>
        <w:lastRenderedPageBreak/>
        <w:t xml:space="preserve">odnosno proračuna jedinice lokalne i područne (regionalne) samouprave za naredno trogodišnje razdoblje na način da se uključe u procjenu rezultata poslovanja tekuće godine koja se prenosi u sljedeću(e) proračunsku(e) godinu(e). </w:t>
      </w:r>
    </w:p>
    <w:p w14:paraId="25157DBC" w14:textId="77777777" w:rsidR="00D54306" w:rsidRPr="00D54306" w:rsidRDefault="00D54306" w:rsidP="00D54306">
      <w:pPr>
        <w:ind w:firstLine="708"/>
        <w:jc w:val="both"/>
        <w:rPr>
          <w:rFonts w:ascii="Times New Roman" w:eastAsia="Times New Roman" w:hAnsi="Times New Roman" w:cs="Times New Roman"/>
          <w:noProof w:val="0"/>
          <w:lang w:eastAsia="hr-HR"/>
        </w:rPr>
      </w:pPr>
    </w:p>
    <w:p w14:paraId="44855AC1" w14:textId="77777777" w:rsidR="00D54306" w:rsidRPr="00D54306" w:rsidRDefault="00D54306" w:rsidP="00D54306">
      <w:pPr>
        <w:ind w:firstLine="708"/>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Također, u slučaju da jedinice lokalne i područne (regionalne) samouprave odnosno proračunski korisnici proračuna jedinice lokalne i područne (regionalne) samouprave planiraju sukcesivno trošenje viškova odnosno pokriće manjkova, uz proračun odnosno financijski plan mora biti donesen akt koji sadrži analizu nastanka tako značajnog viška odnosno analizu u ocjenu postojećeg financijskog stanja institucije; prijedlog mogućnosti za smanjenje ili ukidanje određenih naknada koje se naplaćuju za usluge koje pružaju proračunski korisnici odnosno prijedlog mjera za otklanjanje utvrđenih uzroka nastanka negativnog poslovanja te mjera za stabilno održivo poslovanja; način i svrhu za koju će se upotrijebiti navedeni višak zadan trogodišnjem okviru odnosno akcijski plan provedbe navedenih mjera (s opisom mjere, načinom provedbe, rokom provedbe imenom i prezimenom odgovorne osobe) s očekivanim financijskim i ekonomskim učinkom. O donošenju akta usvojenog od stane predstavničkog tijela, odnosno upravnog vijeća ili drugog upravljačkog tijela, potrebno je priložiti dokaz uz pitanje u Upitniku. </w:t>
      </w:r>
    </w:p>
    <w:p w14:paraId="4AF78690" w14:textId="77777777" w:rsidR="00D54306" w:rsidRPr="00D54306" w:rsidRDefault="00D54306" w:rsidP="00D54306">
      <w:pPr>
        <w:ind w:firstLine="708"/>
        <w:jc w:val="both"/>
        <w:rPr>
          <w:rFonts w:ascii="Times New Roman" w:eastAsia="Times New Roman" w:hAnsi="Times New Roman" w:cs="Times New Roman"/>
          <w:noProof w:val="0"/>
          <w:lang w:eastAsia="hr-HR"/>
        </w:rPr>
      </w:pPr>
    </w:p>
    <w:p w14:paraId="14F22419" w14:textId="77777777" w:rsidR="00D54306" w:rsidRPr="00D54306" w:rsidRDefault="00D54306" w:rsidP="00D54306">
      <w:pPr>
        <w:ind w:firstLine="708"/>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Dodatno, posebni dio proračuna jedinice lokalne i područne (regionalne) samouprave mora biti sastavljan od prikupljanih i objedinjenih prijedloga financijskih planova proračunskih korisnika proračuna jedinice u koji su uključeni svi vlastiti i namjenski prihodi i primici proračunskih korisnika, što će se također testirati pitanjem koji je sastavni dio Upitnika. </w:t>
      </w:r>
    </w:p>
    <w:p w14:paraId="285F8822" w14:textId="77777777" w:rsidR="00D54306" w:rsidRPr="00D54306" w:rsidRDefault="00D54306" w:rsidP="00D54306">
      <w:pPr>
        <w:jc w:val="both"/>
        <w:rPr>
          <w:rFonts w:ascii="Times New Roman" w:eastAsia="Times New Roman" w:hAnsi="Times New Roman" w:cs="Times New Roman"/>
          <w:noProof w:val="0"/>
          <w:lang w:eastAsia="hr-HR"/>
        </w:rPr>
      </w:pPr>
    </w:p>
    <w:p w14:paraId="73F64AE7" w14:textId="77777777" w:rsidR="00D54306" w:rsidRPr="00D54306" w:rsidRDefault="00D54306" w:rsidP="00D54306">
      <w:pPr>
        <w:autoSpaceDE w:val="0"/>
        <w:autoSpaceDN w:val="0"/>
        <w:adjustRightInd w:val="0"/>
        <w:ind w:firstLine="708"/>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Sukladno gore navedenom i u skladu sa odredbama zakonske regulative čelnik proračunskog korisnika Općine Kneževi Vinogradi i dalje će biti u obvezi do 28. veljače 2024 godine dostaviti Općinskom načelniku Općine Kneževi Vinogradi za 2023.godinu sljedeću dokumentaciju:   </w:t>
      </w:r>
    </w:p>
    <w:p w14:paraId="4AA475DB" w14:textId="77777777" w:rsidR="00D54306" w:rsidRPr="00D54306" w:rsidRDefault="00D54306" w:rsidP="00D54306">
      <w:pPr>
        <w:numPr>
          <w:ilvl w:val="0"/>
          <w:numId w:val="2"/>
        </w:numPr>
        <w:autoSpaceDE w:val="0"/>
        <w:autoSpaceDN w:val="0"/>
        <w:adjustRightInd w:val="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Izjavu o fiskalnoj odgovornosti, </w:t>
      </w:r>
    </w:p>
    <w:p w14:paraId="224A28CE" w14:textId="77777777" w:rsidR="00D54306" w:rsidRPr="00D54306" w:rsidRDefault="00D54306" w:rsidP="00D54306">
      <w:pPr>
        <w:numPr>
          <w:ilvl w:val="0"/>
          <w:numId w:val="2"/>
        </w:numPr>
        <w:autoSpaceDE w:val="0"/>
        <w:autoSpaceDN w:val="0"/>
        <w:adjustRightInd w:val="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Popunjeni Upitnik,</w:t>
      </w:r>
    </w:p>
    <w:p w14:paraId="120C1CF0" w14:textId="77777777" w:rsidR="00D54306" w:rsidRPr="00D54306" w:rsidRDefault="00D54306" w:rsidP="00D54306">
      <w:pPr>
        <w:numPr>
          <w:ilvl w:val="0"/>
          <w:numId w:val="2"/>
        </w:numPr>
        <w:autoSpaceDE w:val="0"/>
        <w:autoSpaceDN w:val="0"/>
        <w:adjustRightInd w:val="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Plan otklanjanja slabosti i nepravilnosti, </w:t>
      </w:r>
    </w:p>
    <w:p w14:paraId="75BEDC34" w14:textId="77777777" w:rsidR="00D54306" w:rsidRPr="00D54306" w:rsidRDefault="00D54306" w:rsidP="00D54306">
      <w:pPr>
        <w:numPr>
          <w:ilvl w:val="0"/>
          <w:numId w:val="2"/>
        </w:numPr>
        <w:autoSpaceDE w:val="0"/>
        <w:autoSpaceDN w:val="0"/>
        <w:adjustRightInd w:val="0"/>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Izvješće o otklonjenim slabostima i nepravilnostima, utvrđenima u prethodnoj godini.</w:t>
      </w:r>
    </w:p>
    <w:p w14:paraId="3612BFDC" w14:textId="77777777" w:rsidR="00D54306" w:rsidRPr="00D54306" w:rsidRDefault="00D54306" w:rsidP="00D54306">
      <w:pPr>
        <w:autoSpaceDE w:val="0"/>
        <w:autoSpaceDN w:val="0"/>
        <w:adjustRightInd w:val="0"/>
        <w:ind w:left="360"/>
        <w:jc w:val="both"/>
        <w:rPr>
          <w:rFonts w:ascii="Times New Roman" w:eastAsia="Times New Roman" w:hAnsi="Times New Roman" w:cs="Times New Roman"/>
          <w:noProof w:val="0"/>
          <w:lang w:eastAsia="hr-HR"/>
        </w:rPr>
      </w:pPr>
    </w:p>
    <w:p w14:paraId="08573643" w14:textId="77777777" w:rsidR="00D54306" w:rsidRPr="00D54306" w:rsidRDefault="00D54306" w:rsidP="00D54306">
      <w:pPr>
        <w:autoSpaceDE w:val="0"/>
        <w:autoSpaceDN w:val="0"/>
        <w:adjustRightInd w:val="0"/>
        <w:ind w:firstLine="708"/>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b/>
          <w:noProof w:val="0"/>
          <w:lang w:eastAsia="hr-HR"/>
        </w:rPr>
        <w:t xml:space="preserve">Istu dokumentaciju do 31. ožujka 2023. godine Općine Kneževi Vinogradi će u obvezi dostaviti i direktori </w:t>
      </w:r>
      <w:r w:rsidRPr="00D54306">
        <w:rPr>
          <w:rFonts w:ascii="Times New Roman" w:eastAsia="Times New Roman" w:hAnsi="Times New Roman" w:cs="Times New Roman"/>
          <w:noProof w:val="0"/>
          <w:lang w:eastAsia="hr-HR"/>
        </w:rPr>
        <w:t>svih trgovačkih društava u vlasništvu i suvlasništvu Općine Kneževi Vinogradi.</w:t>
      </w:r>
    </w:p>
    <w:p w14:paraId="14C96BEE" w14:textId="77777777" w:rsidR="00D54306" w:rsidRPr="00D54306" w:rsidRDefault="00D54306" w:rsidP="00D54306">
      <w:pPr>
        <w:autoSpaceDE w:val="0"/>
        <w:autoSpaceDN w:val="0"/>
        <w:adjustRightInd w:val="0"/>
        <w:ind w:firstLine="360"/>
        <w:jc w:val="both"/>
        <w:rPr>
          <w:rFonts w:ascii="Times New Roman" w:eastAsia="Times New Roman" w:hAnsi="Times New Roman" w:cs="Times New Roman"/>
          <w:noProof w:val="0"/>
          <w:lang w:eastAsia="hr-HR"/>
        </w:rPr>
      </w:pPr>
    </w:p>
    <w:p w14:paraId="0E3E36CC" w14:textId="77777777" w:rsidR="00D54306" w:rsidRPr="00D54306" w:rsidRDefault="00D54306" w:rsidP="00D54306">
      <w:pPr>
        <w:autoSpaceDE w:val="0"/>
        <w:autoSpaceDN w:val="0"/>
        <w:adjustRightInd w:val="0"/>
        <w:ind w:firstLine="708"/>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 xml:space="preserve">Općina Kneževi Vinogradi će izvršiti provjeru izjava proračunskog korisnika, te trgovačkih društava da li su zaista poštovana načela zakonitog, namjenskog i svrhovitog korištenja sredstava te da li je uspostavljen i funkcionira li učinkovit i djelotvoran sustav financijskog upravljanja i kontrola, a o uočenim nepravilnostima po provedenim provjerama izvijestiti Ministarstvo financija sukladno Naputku.  </w:t>
      </w:r>
    </w:p>
    <w:p w14:paraId="03C8DF78" w14:textId="77777777" w:rsidR="00D54306" w:rsidRPr="00D54306" w:rsidRDefault="00D54306" w:rsidP="00D54306">
      <w:pPr>
        <w:tabs>
          <w:tab w:val="left" w:pos="3492"/>
        </w:tabs>
        <w:autoSpaceDE w:val="0"/>
        <w:autoSpaceDN w:val="0"/>
        <w:adjustRightInd w:val="0"/>
        <w:jc w:val="both"/>
        <w:rPr>
          <w:rFonts w:ascii="Arial" w:eastAsia="Times New Roman" w:hAnsi="Arial" w:cs="Arial"/>
          <w:noProof w:val="0"/>
          <w:lang w:eastAsia="hr-HR"/>
        </w:rPr>
      </w:pPr>
      <w:r w:rsidRPr="00D54306">
        <w:rPr>
          <w:rFonts w:ascii="Arial" w:eastAsia="Times New Roman" w:hAnsi="Arial" w:cs="Arial"/>
          <w:noProof w:val="0"/>
          <w:lang w:eastAsia="hr-HR"/>
        </w:rPr>
        <w:tab/>
      </w:r>
    </w:p>
    <w:p w14:paraId="4C31AA47" w14:textId="77777777" w:rsidR="00D54306" w:rsidRPr="00D54306" w:rsidRDefault="00D54306" w:rsidP="00D54306">
      <w:pPr>
        <w:ind w:left="360" w:hanging="360"/>
        <w:contextualSpacing/>
        <w:rPr>
          <w:rFonts w:ascii="Times New Roman" w:eastAsia="Times New Roman" w:hAnsi="Times New Roman" w:cs="Times New Roman"/>
          <w:b/>
          <w:bCs/>
          <w:noProof w:val="0"/>
          <w:spacing w:val="-10"/>
          <w:kern w:val="28"/>
          <w:sz w:val="28"/>
          <w:szCs w:val="28"/>
          <w:lang w:eastAsia="hr-HR"/>
        </w:rPr>
      </w:pPr>
      <w:r w:rsidRPr="00D54306">
        <w:rPr>
          <w:rFonts w:ascii="Times New Roman" w:eastAsia="Times New Roman" w:hAnsi="Times New Roman" w:cs="Times New Roman"/>
          <w:b/>
          <w:bCs/>
          <w:noProof w:val="0"/>
          <w:spacing w:val="-10"/>
          <w:kern w:val="28"/>
          <w:sz w:val="28"/>
          <w:szCs w:val="28"/>
          <w:lang w:eastAsia="hr-HR"/>
        </w:rPr>
        <w:t>POSEBNA NAPOMENA ZA VIJEĆA NACIONALNIH MANJINA:</w:t>
      </w:r>
    </w:p>
    <w:p w14:paraId="285E3BAA" w14:textId="77777777" w:rsidR="00D54306" w:rsidRPr="00D54306" w:rsidRDefault="00D54306" w:rsidP="00D54306">
      <w:pPr>
        <w:jc w:val="both"/>
        <w:rPr>
          <w:rFonts w:ascii="Times New Roman" w:eastAsia="Times New Roman" w:hAnsi="Times New Roman" w:cs="Times New Roman"/>
          <w:b/>
          <w:noProof w:val="0"/>
          <w:lang w:eastAsia="hr-HR"/>
        </w:rPr>
      </w:pPr>
    </w:p>
    <w:p w14:paraId="4223A261" w14:textId="77777777" w:rsidR="00D54306" w:rsidRPr="00D54306" w:rsidRDefault="00D54306" w:rsidP="00D54306">
      <w:pPr>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b/>
          <w:i/>
          <w:noProof w:val="0"/>
          <w:u w:val="single"/>
          <w:lang w:eastAsia="hr-HR"/>
        </w:rPr>
        <w:t>Iako se ove Upute najvećim dijelom ne odnose na vijeća nacionalnih manjina koja se u Registru proračunskih korisnika ne vode kao proračunski korisnici</w:t>
      </w:r>
      <w:r w:rsidRPr="00D54306">
        <w:rPr>
          <w:rFonts w:ascii="Times New Roman" w:eastAsia="Times New Roman" w:hAnsi="Times New Roman" w:cs="Times New Roman"/>
          <w:noProof w:val="0"/>
          <w:lang w:eastAsia="hr-HR"/>
        </w:rPr>
        <w:t>, s obzirom da cijelo poslovanje vode putem Proračuna Općine, nemaju posebnu administraciju i sl., ovim Uputama  planirani su limiti i za vijeća nacionalnih manjina, te sukladno rokovima iz ove Upute, molimo vijeća da se očituju o planovima i namjeni utroška sredstava, s mogućim obrazloženjima. Za programe i projekte koji su započeti u 2023.godini i nastavljaju se u 2024.godini u prijedlogu Proračuna Jedinstveni upravni odjel, će sukladno projektima i programima planirati sredstva i u 2024.</w:t>
      </w:r>
    </w:p>
    <w:p w14:paraId="6C1930DD" w14:textId="77777777" w:rsidR="00D54306" w:rsidRPr="00D54306" w:rsidRDefault="00D54306" w:rsidP="00D54306">
      <w:pPr>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t>PROČELNICA</w:t>
      </w:r>
    </w:p>
    <w:p w14:paraId="1D746F05" w14:textId="77777777" w:rsidR="00D54306" w:rsidRPr="00D54306" w:rsidRDefault="00D54306" w:rsidP="00D54306">
      <w:pPr>
        <w:jc w:val="both"/>
        <w:rPr>
          <w:rFonts w:ascii="Times New Roman" w:eastAsia="Times New Roman" w:hAnsi="Times New Roman" w:cs="Times New Roman"/>
          <w:noProof w:val="0"/>
          <w:lang w:eastAsia="hr-HR"/>
        </w:rPr>
      </w:pP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r>
      <w:r w:rsidRPr="00D54306">
        <w:rPr>
          <w:rFonts w:ascii="Times New Roman" w:eastAsia="Times New Roman" w:hAnsi="Times New Roman" w:cs="Times New Roman"/>
          <w:noProof w:val="0"/>
          <w:lang w:eastAsia="hr-HR"/>
        </w:rPr>
        <w:tab/>
        <w:t>Željka Kolarić</w:t>
      </w:r>
    </w:p>
    <w:p w14:paraId="16D3D97A" w14:textId="77777777" w:rsidR="00D54306" w:rsidRPr="00D54306" w:rsidRDefault="00D54306" w:rsidP="00D54306">
      <w:pPr>
        <w:jc w:val="both"/>
        <w:rPr>
          <w:rFonts w:ascii="Times New Roman" w:eastAsia="Times New Roman" w:hAnsi="Times New Roman" w:cs="Times New Roman"/>
          <w:noProof w:val="0"/>
          <w:sz w:val="20"/>
          <w:szCs w:val="20"/>
          <w:lang w:eastAsia="hr-HR"/>
        </w:rPr>
      </w:pPr>
      <w:r w:rsidRPr="00D54306">
        <w:rPr>
          <w:rFonts w:ascii="Times New Roman" w:eastAsia="Times New Roman" w:hAnsi="Times New Roman" w:cs="Times New Roman"/>
          <w:noProof w:val="0"/>
          <w:sz w:val="20"/>
          <w:szCs w:val="20"/>
          <w:lang w:eastAsia="hr-HR"/>
        </w:rPr>
        <w:t>PRIVITAK:</w:t>
      </w:r>
    </w:p>
    <w:p w14:paraId="584ADBCF" w14:textId="77777777" w:rsidR="00D54306" w:rsidRPr="00D54306" w:rsidRDefault="00D54306" w:rsidP="00D54306">
      <w:pPr>
        <w:numPr>
          <w:ilvl w:val="0"/>
          <w:numId w:val="2"/>
        </w:numPr>
        <w:contextualSpacing/>
        <w:jc w:val="both"/>
        <w:rPr>
          <w:rFonts w:ascii="Times New Roman" w:eastAsia="Times New Roman" w:hAnsi="Times New Roman" w:cs="Times New Roman"/>
          <w:noProof w:val="0"/>
          <w:sz w:val="20"/>
          <w:szCs w:val="20"/>
          <w:lang w:eastAsia="hr-HR"/>
        </w:rPr>
      </w:pPr>
      <w:r w:rsidRPr="00D54306">
        <w:rPr>
          <w:rFonts w:ascii="Times New Roman" w:eastAsia="Times New Roman" w:hAnsi="Times New Roman" w:cs="Times New Roman"/>
          <w:noProof w:val="0"/>
          <w:sz w:val="20"/>
          <w:szCs w:val="20"/>
          <w:lang w:eastAsia="hr-HR"/>
        </w:rPr>
        <w:t>Obrasci prijedloga financijskog plana</w:t>
      </w:r>
    </w:p>
    <w:p w14:paraId="4ADF80C5" w14:textId="77777777" w:rsidR="00D54306" w:rsidRPr="00D54306" w:rsidRDefault="00D54306" w:rsidP="00D54306">
      <w:pPr>
        <w:jc w:val="both"/>
        <w:rPr>
          <w:rFonts w:ascii="Times New Roman" w:eastAsia="Times New Roman" w:hAnsi="Times New Roman" w:cs="Times New Roman"/>
          <w:noProof w:val="0"/>
          <w:sz w:val="20"/>
          <w:szCs w:val="20"/>
          <w:lang w:eastAsia="hr-HR"/>
        </w:rPr>
      </w:pPr>
    </w:p>
    <w:p w14:paraId="7B5BE6F8" w14:textId="77777777" w:rsidR="00D54306" w:rsidRPr="00D54306" w:rsidRDefault="00D54306" w:rsidP="00D54306">
      <w:pPr>
        <w:jc w:val="both"/>
        <w:rPr>
          <w:rFonts w:ascii="Times New Roman" w:eastAsia="Times New Roman" w:hAnsi="Times New Roman" w:cs="Times New Roman"/>
          <w:noProof w:val="0"/>
          <w:sz w:val="20"/>
          <w:szCs w:val="20"/>
          <w:lang w:eastAsia="hr-HR"/>
        </w:rPr>
      </w:pPr>
      <w:r w:rsidRPr="00D54306">
        <w:rPr>
          <w:rFonts w:ascii="Times New Roman" w:eastAsia="Times New Roman" w:hAnsi="Times New Roman" w:cs="Times New Roman"/>
          <w:noProof w:val="0"/>
          <w:sz w:val="20"/>
          <w:szCs w:val="20"/>
          <w:lang w:eastAsia="hr-HR"/>
        </w:rPr>
        <w:t>DOSTAVITI:</w:t>
      </w:r>
    </w:p>
    <w:p w14:paraId="0FB8BD65" w14:textId="77777777" w:rsidR="00D54306" w:rsidRPr="00D54306" w:rsidRDefault="00D54306" w:rsidP="00D54306">
      <w:pPr>
        <w:numPr>
          <w:ilvl w:val="0"/>
          <w:numId w:val="6"/>
        </w:numPr>
        <w:contextualSpacing/>
        <w:rPr>
          <w:rFonts w:ascii="Times New Roman" w:eastAsia="Times New Roman" w:hAnsi="Times New Roman" w:cs="Times New Roman"/>
          <w:noProof w:val="0"/>
          <w:sz w:val="20"/>
          <w:szCs w:val="20"/>
          <w:lang w:eastAsia="hr-HR"/>
        </w:rPr>
      </w:pPr>
      <w:r w:rsidRPr="00D54306">
        <w:rPr>
          <w:rFonts w:ascii="Times New Roman" w:eastAsia="Times New Roman" w:hAnsi="Times New Roman" w:cs="Times New Roman"/>
          <w:noProof w:val="0"/>
          <w:sz w:val="20"/>
          <w:szCs w:val="20"/>
          <w:lang w:eastAsia="hr-HR"/>
        </w:rPr>
        <w:t>DV Zeko,</w:t>
      </w:r>
    </w:p>
    <w:p w14:paraId="3D468490" w14:textId="77777777" w:rsidR="00D54306" w:rsidRPr="00D54306" w:rsidRDefault="00D54306" w:rsidP="00D54306">
      <w:pPr>
        <w:numPr>
          <w:ilvl w:val="0"/>
          <w:numId w:val="6"/>
        </w:numPr>
        <w:contextualSpacing/>
        <w:rPr>
          <w:rFonts w:ascii="Times New Roman" w:eastAsia="Times New Roman" w:hAnsi="Times New Roman" w:cs="Times New Roman"/>
          <w:noProof w:val="0"/>
          <w:sz w:val="20"/>
          <w:szCs w:val="20"/>
          <w:lang w:eastAsia="hr-HR"/>
        </w:rPr>
      </w:pPr>
      <w:r w:rsidRPr="00D54306">
        <w:rPr>
          <w:rFonts w:ascii="Times New Roman" w:eastAsia="Times New Roman" w:hAnsi="Times New Roman" w:cs="Times New Roman"/>
          <w:noProof w:val="0"/>
          <w:sz w:val="20"/>
          <w:szCs w:val="20"/>
          <w:lang w:eastAsia="hr-HR"/>
        </w:rPr>
        <w:t>Vijeće srpske nacionalne manjine</w:t>
      </w:r>
    </w:p>
    <w:p w14:paraId="55585CFB" w14:textId="77777777" w:rsidR="00D54306" w:rsidRPr="00D54306" w:rsidRDefault="00D54306" w:rsidP="00D54306">
      <w:pPr>
        <w:numPr>
          <w:ilvl w:val="0"/>
          <w:numId w:val="6"/>
        </w:numPr>
        <w:contextualSpacing/>
        <w:rPr>
          <w:rFonts w:ascii="Times New Roman" w:eastAsia="Times New Roman" w:hAnsi="Times New Roman" w:cs="Times New Roman"/>
          <w:noProof w:val="0"/>
          <w:sz w:val="20"/>
          <w:szCs w:val="20"/>
          <w:lang w:eastAsia="hr-HR"/>
        </w:rPr>
      </w:pPr>
      <w:r w:rsidRPr="00D54306">
        <w:rPr>
          <w:rFonts w:ascii="Times New Roman" w:eastAsia="Times New Roman" w:hAnsi="Times New Roman" w:cs="Times New Roman"/>
          <w:noProof w:val="0"/>
          <w:sz w:val="20"/>
          <w:szCs w:val="20"/>
          <w:lang w:eastAsia="hr-HR"/>
        </w:rPr>
        <w:lastRenderedPageBreak/>
        <w:t>Vijeće mađarske nacionalne manjine</w:t>
      </w:r>
    </w:p>
    <w:p w14:paraId="39F3ECC4" w14:textId="77777777" w:rsidR="00D54306" w:rsidRPr="00D54306" w:rsidRDefault="00D54306" w:rsidP="00D54306">
      <w:pPr>
        <w:numPr>
          <w:ilvl w:val="0"/>
          <w:numId w:val="6"/>
        </w:numPr>
        <w:contextualSpacing/>
        <w:rPr>
          <w:rFonts w:ascii="Times New Roman" w:eastAsia="Times New Roman" w:hAnsi="Times New Roman" w:cs="Times New Roman"/>
          <w:noProof w:val="0"/>
          <w:sz w:val="20"/>
          <w:szCs w:val="20"/>
          <w:lang w:eastAsia="hr-HR"/>
        </w:rPr>
      </w:pPr>
      <w:r w:rsidRPr="00D54306">
        <w:rPr>
          <w:rFonts w:ascii="Times New Roman" w:eastAsia="Times New Roman" w:hAnsi="Times New Roman" w:cs="Times New Roman"/>
          <w:noProof w:val="0"/>
          <w:sz w:val="20"/>
          <w:szCs w:val="20"/>
          <w:lang w:eastAsia="hr-HR"/>
        </w:rPr>
        <w:t>web</w:t>
      </w:r>
    </w:p>
    <w:p w14:paraId="5DCEDE0A" w14:textId="77777777" w:rsidR="00D54306" w:rsidRPr="00D54306" w:rsidRDefault="00D54306" w:rsidP="00D54306">
      <w:pPr>
        <w:numPr>
          <w:ilvl w:val="0"/>
          <w:numId w:val="6"/>
        </w:numPr>
        <w:contextualSpacing/>
        <w:rPr>
          <w:rFonts w:ascii="Times New Roman" w:eastAsia="Times New Roman" w:hAnsi="Times New Roman" w:cs="Times New Roman"/>
          <w:noProof w:val="0"/>
          <w:sz w:val="20"/>
          <w:szCs w:val="20"/>
          <w:lang w:eastAsia="hr-HR"/>
        </w:rPr>
      </w:pPr>
      <w:r w:rsidRPr="00D54306">
        <w:rPr>
          <w:rFonts w:ascii="Times New Roman" w:eastAsia="Times New Roman" w:hAnsi="Times New Roman" w:cs="Times New Roman"/>
          <w:noProof w:val="0"/>
          <w:sz w:val="20"/>
          <w:szCs w:val="20"/>
          <w:lang w:eastAsia="hr-HR"/>
        </w:rPr>
        <w:t>JUO, ovdje</w:t>
      </w:r>
    </w:p>
    <w:p w14:paraId="75975BBE" w14:textId="77777777" w:rsidR="00B92D0F" w:rsidRPr="00B92D0F" w:rsidRDefault="00B92D0F" w:rsidP="00B92D0F">
      <w:pPr>
        <w:spacing w:after="160" w:line="259" w:lineRule="auto"/>
        <w:rPr>
          <w:rFonts w:eastAsia="Times New Roman" w:cs="Times New Roman"/>
          <w:noProof w:val="0"/>
        </w:rPr>
      </w:pPr>
    </w:p>
    <w:p w14:paraId="4AA78142" w14:textId="77777777" w:rsidR="00B92D0F" w:rsidRPr="00B92D0F" w:rsidRDefault="00B92D0F" w:rsidP="00B92D0F">
      <w:pPr>
        <w:spacing w:after="160" w:line="259" w:lineRule="auto"/>
        <w:rPr>
          <w:rFonts w:eastAsia="Times New Roman" w:cs="Times New Roman"/>
          <w:noProof w:val="0"/>
        </w:rPr>
      </w:pPr>
    </w:p>
    <w:p w14:paraId="53408CE5" w14:textId="12261E34" w:rsidR="008A562A" w:rsidRDefault="00D707B3">
      <w:pPr>
        <w:rPr>
          <w:b/>
        </w:rPr>
      </w:pPr>
      <w:r>
        <w:rPr>
          <w:b/>
          <w:lang w:eastAsia="hr-HR"/>
        </w:rPr>
        <mc:AlternateContent>
          <mc:Choice Requires="wps">
            <w:drawing>
              <wp:anchor distT="0" distB="0" distL="114300" distR="114300" simplePos="0" relativeHeight="251672576" behindDoc="0" locked="1" layoutInCell="1" allowOverlap="1" wp14:anchorId="6E6A168A" wp14:editId="71E2500E">
                <wp:simplePos x="0" y="0"/>
                <wp:positionH relativeFrom="page">
                  <wp:posOffset>109220</wp:posOffset>
                </wp:positionH>
                <wp:positionV relativeFrom="page">
                  <wp:posOffset>9266555</wp:posOffset>
                </wp:positionV>
                <wp:extent cx="3535045" cy="101473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1014730"/>
                        </a:xfrm>
                        <a:prstGeom prst="rect">
                          <a:avLst/>
                        </a:prstGeom>
                        <a:solidFill>
                          <a:srgbClr val="FFFFFF"/>
                        </a:solidFill>
                        <a:ln w="9525">
                          <a:noFill/>
                          <a:miter lim="800000"/>
                          <a:headEnd/>
                          <a:tailEnd/>
                        </a:ln>
                      </wps:spPr>
                      <wps:txbx>
                        <w:txbxContent>
                          <w:p w14:paraId="76EF94CE" w14:textId="77777777" w:rsidR="008A562A" w:rsidRDefault="008A562A">
                            <w:pPr>
                              <w:contextualSpacing/>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6A168A" id="_x0000_t202" coordsize="21600,21600" o:spt="202" path="m,l,21600r21600,l21600,xe">
                <v:stroke joinstyle="miter"/>
                <v:path gradientshapeok="t" o:connecttype="rect"/>
              </v:shapetype>
              <v:shape id="Text Box 2" o:spid="_x0000_s1026" type="#_x0000_t202" style="position:absolute;margin-left:8.6pt;margin-top:729.65pt;width:278.35pt;height:79.9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rkTIgIAAB4EAAAOAAAAZHJzL2Uyb0RvYy54bWysU21v2yAQ/j5p/wHxfbGdxGtrxam6dJkm&#10;dS9Sux+AMY7RgGNAYme/fgdO06j7No0PiOOOh7vnnlvdjlqRg3BegqlpMcspEYZDK82upj+etu+u&#10;KfGBmZYpMKKmR+Hp7frtm9VgKzGHHlQrHEEQ46vB1rQPwVZZ5nkvNPMzsMKgswOnWUDT7bLWsQHR&#10;tcrmef4+G8C11gEX3uPt/eSk64TfdYKHb13nRSCqpphbSLtLexP3bL1i1c4x20t+SoP9QxaaSYOf&#10;nqHuWWBk7+RfUFpyBx66MOOgM+g6yUWqAasp8lfVPPbMilQLkuPtmSb//2D518N3R2Rb00V+RYlh&#10;Gpv0JMZAPsBI5pGfwfoKwx4tBoYRr7HPqVZvH4D/9MTApmdmJ+6cg6EXrMX8ivgyu3g64fgI0gxf&#10;oMVv2D5AAho7pyN5SAdBdOzT8dybmArHy0W5KPNlSQlHX5EXy6tF6l7Gqufn1vnwSYAm8VBTh81P&#10;8Ozw4ENMh1XPIfE3D0q2W6lUMtyu2ShHDgyFsk0rVfAqTBky1PSmnJcJ2UB8nzSkZUAhK6lrep3H&#10;NUkr0vHRtCkkMKmmM2aizImfSMlEThibEQMjaQ20R2TKwSRYHDA89OB+UzKgWGvqf+2ZE5SozwbZ&#10;vimWy6juZCzLqzka7tLTXHqY4QhV00DJdNyENBGRBwN32JVOJr5eMjnliiJMNJ4GJqr80k5RL2O9&#10;/gMAAP//AwBQSwMEFAAGAAgAAAAhANbezJzgAAAADAEAAA8AAABkcnMvZG93bnJldi54bWxMj0FP&#10;g0AQhe8m/ofNmHgxdqEtIMjSqInGa2t/wMBOgcjuEnZb6L93POlp8mZe3nyv3C1mEBeafO+sgngV&#10;gSDbON3bVsHx6/3xCYQPaDUOzpKCK3nYVbc3JRbazXZPl0NoBYdYX6CCLoSxkNI3HRn0KzeS5dvJ&#10;TQYDy6mVesKZw80g11GUSoO95Q8djvTWUfN9OBsFp8/5Icnn+iMcs/02fcU+q91Vqfu75eUZRKAl&#10;/JnhF5/RoWKm2p2t9mJgna3ZyXOb5BsQ7EiyTQ6i5lUa5zHIqpT/S1Q/AAAA//8DAFBLAQItABQA&#10;BgAIAAAAIQC2gziS/gAAAOEBAAATAAAAAAAAAAAAAAAAAAAAAABbQ29udGVudF9UeXBlc10ueG1s&#10;UEsBAi0AFAAGAAgAAAAhADj9If/WAAAAlAEAAAsAAAAAAAAAAAAAAAAALwEAAF9yZWxzLy5yZWxz&#10;UEsBAi0AFAAGAAgAAAAhAHzKuRMiAgAAHgQAAA4AAAAAAAAAAAAAAAAALgIAAGRycy9lMm9Eb2Mu&#10;eG1sUEsBAi0AFAAGAAgAAAAhANbezJzgAAAADAEAAA8AAAAAAAAAAAAAAAAAfAQAAGRycy9kb3du&#10;cmV2LnhtbFBLBQYAAAAABAAEAPMAAACJBQAAAAA=&#10;" stroked="f">
                <v:textbox>
                  <w:txbxContent>
                    <w:p w14:paraId="76EF94CE" w14:textId="77777777" w:rsidR="008A562A" w:rsidRDefault="008A562A">
                      <w:pPr>
                        <w:contextualSpacing/>
                      </w:pPr>
                    </w:p>
                  </w:txbxContent>
                </v:textbox>
                <w10:wrap anchorx="page" anchory="page"/>
                <w10:anchorlock/>
              </v:shape>
            </w:pict>
          </mc:Fallback>
        </mc:AlternateContent>
      </w:r>
    </w:p>
    <w:sectPr w:rsidR="008A562A">
      <w:pgSz w:w="11906" w:h="16838"/>
      <w:pgMar w:top="141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DF417x">
    <w:panose1 w:val="02000000000000000000"/>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005E" w14:textId="77777777" w:rsidR="00D54306" w:rsidRDefault="00D54306">
    <w:pPr>
      <w:pStyle w:val="Footer"/>
      <w:jc w:val="right"/>
    </w:pPr>
    <w:r>
      <w:fldChar w:fldCharType="begin"/>
    </w:r>
    <w:r>
      <w:instrText>PAGE   \* MERGEFORMAT</w:instrText>
    </w:r>
    <w:r>
      <w:fldChar w:fldCharType="separate"/>
    </w:r>
    <w:r>
      <w:rPr>
        <w:noProof/>
      </w:rPr>
      <w:t>6</w:t>
    </w:r>
    <w:r>
      <w:fldChar w:fldCharType="end"/>
    </w:r>
  </w:p>
  <w:p w14:paraId="14001514" w14:textId="77777777" w:rsidR="00D54306" w:rsidRDefault="00D543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F8366" w14:textId="77777777" w:rsidR="00D54306" w:rsidRDefault="00D54306">
    <w:pPr>
      <w:pStyle w:val="Footer"/>
      <w:jc w:val="right"/>
    </w:pPr>
    <w:r>
      <w:fldChar w:fldCharType="begin"/>
    </w:r>
    <w:r>
      <w:instrText>PAGE   \* MERGEFORMAT</w:instrText>
    </w:r>
    <w:r>
      <w:fldChar w:fldCharType="separate"/>
    </w:r>
    <w:r>
      <w:rPr>
        <w:noProof/>
      </w:rPr>
      <w:t>6</w:t>
    </w:r>
    <w:r>
      <w:fldChar w:fldCharType="end"/>
    </w:r>
  </w:p>
  <w:p w14:paraId="37C0A7E9" w14:textId="77777777" w:rsidR="00D54306" w:rsidRDefault="00D54306">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1D4D38"/>
    <w:multiLevelType w:val="hybridMultilevel"/>
    <w:tmpl w:val="400A411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E4768E9"/>
    <w:multiLevelType w:val="hybridMultilevel"/>
    <w:tmpl w:val="1BB8D06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50D71359"/>
    <w:multiLevelType w:val="hybridMultilevel"/>
    <w:tmpl w:val="E5A804D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15:restartNumberingAfterBreak="0">
    <w:nsid w:val="59B81E06"/>
    <w:multiLevelType w:val="hybridMultilevel"/>
    <w:tmpl w:val="199015B2"/>
    <w:lvl w:ilvl="0" w:tplc="69ECEED8">
      <w:numFmt w:val="bullet"/>
      <w:lvlText w:val="-"/>
      <w:lvlJc w:val="left"/>
      <w:pPr>
        <w:tabs>
          <w:tab w:val="num" w:pos="720"/>
        </w:tabs>
        <w:ind w:left="720" w:hanging="360"/>
      </w:pPr>
      <w:rPr>
        <w:rFonts w:ascii="Times New Roman" w:eastAsia="Times New Roman" w:hAnsi="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0266025"/>
    <w:multiLevelType w:val="multilevel"/>
    <w:tmpl w:val="A266A99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B66531"/>
    <w:multiLevelType w:val="hybridMultilevel"/>
    <w:tmpl w:val="072217AA"/>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61E1411F"/>
    <w:multiLevelType w:val="hybridMultilevel"/>
    <w:tmpl w:val="F790D3D2"/>
    <w:lvl w:ilvl="0" w:tplc="78E08F9A">
      <w:start w:val="1"/>
      <w:numFmt w:val="bullet"/>
      <w:lvlText w:val=""/>
      <w:lvlJc w:val="left"/>
      <w:pPr>
        <w:ind w:left="720" w:hanging="360"/>
      </w:pPr>
      <w:rPr>
        <w:rFonts w:ascii="Symbol" w:hAnsi="Symbol" w:hint="default"/>
        <w:sz w:val="18"/>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4642A8C"/>
    <w:multiLevelType w:val="hybridMultilevel"/>
    <w:tmpl w:val="D8443F4A"/>
    <w:lvl w:ilvl="0" w:tplc="69ECEED8">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70C61ED0"/>
    <w:multiLevelType w:val="hybridMultilevel"/>
    <w:tmpl w:val="7FF44A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6"/>
  </w:num>
  <w:num w:numId="5">
    <w:abstractNumId w:val="8"/>
  </w:num>
  <w:num w:numId="6">
    <w:abstractNumId w:val="2"/>
  </w:num>
  <w:num w:numId="7">
    <w:abstractNumId w:val="1"/>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275B0C"/>
    <w:rsid w:val="00347D72"/>
    <w:rsid w:val="003643E5"/>
    <w:rsid w:val="003F65C1"/>
    <w:rsid w:val="00693AB1"/>
    <w:rsid w:val="008A562A"/>
    <w:rsid w:val="008C5FE5"/>
    <w:rsid w:val="009941D2"/>
    <w:rsid w:val="009B7A12"/>
    <w:rsid w:val="00A836D0"/>
    <w:rsid w:val="00AC35DA"/>
    <w:rsid w:val="00AD6D2C"/>
    <w:rsid w:val="00B92D0F"/>
    <w:rsid w:val="00C9578C"/>
    <w:rsid w:val="00D54306"/>
    <w:rsid w:val="00D707B3"/>
    <w:rsid w:val="00E5540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12B23"/>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semiHidden/>
    <w:unhideWhenUsed/>
    <w:rPr>
      <w:color w:val="0000FF"/>
      <w:u w:val="single"/>
    </w:rPr>
  </w:style>
  <w:style w:type="table" w:customStyle="1" w:styleId="TableGrid1">
    <w:name w:val="Table Grid1"/>
    <w:basedOn w:val="TableNormal"/>
    <w:next w:val="TableGrid"/>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54306"/>
    <w:pPr>
      <w:tabs>
        <w:tab w:val="center" w:pos="4536"/>
        <w:tab w:val="right" w:pos="9072"/>
      </w:tabs>
    </w:pPr>
    <w:rPr>
      <w:rFonts w:ascii="Times New Roman" w:eastAsia="Times New Roman" w:hAnsi="Times New Roman" w:cs="Times New Roman"/>
      <w:noProof w:val="0"/>
      <w:sz w:val="24"/>
      <w:szCs w:val="24"/>
      <w:lang w:eastAsia="hr-HR"/>
    </w:rPr>
  </w:style>
  <w:style w:type="character" w:customStyle="1" w:styleId="FooterChar">
    <w:name w:val="Footer Char"/>
    <w:basedOn w:val="DefaultParagraphFont"/>
    <w:link w:val="Footer"/>
    <w:uiPriority w:val="99"/>
    <w:rsid w:val="00D54306"/>
    <w:rPr>
      <w:rFonts w:ascii="Times New Roman" w:eastAsia="Times New Roman" w:hAnsi="Times New Roman" w:cs="Times New Roman"/>
      <w:sz w:val="24"/>
      <w:szCs w:val="24"/>
      <w:lang w:eastAsia="hr-HR"/>
    </w:rPr>
  </w:style>
  <w:style w:type="table" w:customStyle="1" w:styleId="TableGrid2">
    <w:name w:val="Table Grid2"/>
    <w:basedOn w:val="TableNormal"/>
    <w:next w:val="TableGrid"/>
    <w:uiPriority w:val="59"/>
    <w:rsid w:val="00D54306"/>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bz.hr/index.php/razvojni-projekti-i-investicije/strategijski-razvojni-dokument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mfin.gov.hr/istaknute-teme/lokalna-samouprava/upute-za-izradu-proracuna-jlp-r-s/205"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nezevi-vinogradi.hr/dokumenti/provedbeni-program-opcine-knezevi-vinogradi-za-razdoblje-2021-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A4CD799F-194B-45D2-B6D7-81D77BE54F60}">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4679</Words>
  <Characters>26676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Željka Kolarić</cp:lastModifiedBy>
  <cp:revision>2</cp:revision>
  <cp:lastPrinted>2023-10-04T10:49:00Z</cp:lastPrinted>
  <dcterms:created xsi:type="dcterms:W3CDTF">2023-10-04T10:52:00Z</dcterms:created>
  <dcterms:modified xsi:type="dcterms:W3CDTF">2023-10-04T10:52:00Z</dcterms:modified>
</cp:coreProperties>
</file>